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AC" w:rsidRPr="00E17CAC" w:rsidRDefault="00E17CAC" w:rsidP="00E17CAC">
      <w:pPr>
        <w:spacing w:line="360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>УДК 332.146.2</w:t>
      </w:r>
    </w:p>
    <w:p w:rsidR="00E17CAC" w:rsidRPr="00E17CAC" w:rsidRDefault="00E17CAC" w:rsidP="00E17CAC">
      <w:pPr>
        <w:spacing w:line="360" w:lineRule="auto"/>
        <w:ind w:firstLine="0"/>
        <w:jc w:val="right"/>
        <w:rPr>
          <w:rFonts w:eastAsia="Times New Roman"/>
          <w:b/>
          <w:i/>
          <w:sz w:val="28"/>
          <w:szCs w:val="28"/>
          <w:lang w:eastAsia="ru-RU"/>
        </w:rPr>
      </w:pPr>
      <w:r w:rsidRPr="00E17CAC">
        <w:rPr>
          <w:rFonts w:eastAsia="Times New Roman"/>
          <w:b/>
          <w:i/>
          <w:sz w:val="28"/>
          <w:szCs w:val="28"/>
          <w:lang w:eastAsia="ru-RU"/>
        </w:rPr>
        <w:t>Міхєєнко Т.В.,</w:t>
      </w:r>
    </w:p>
    <w:p w:rsidR="00E17CAC" w:rsidRPr="00E17CAC" w:rsidRDefault="00B244D3" w:rsidP="00E17CAC">
      <w:pPr>
        <w:spacing w:line="360" w:lineRule="auto"/>
        <w:ind w:firstLine="0"/>
        <w:jc w:val="right"/>
        <w:rPr>
          <w:rFonts w:eastAsia="Times New Roman"/>
          <w:i/>
          <w:sz w:val="28"/>
          <w:szCs w:val="28"/>
          <w:lang w:eastAsia="ru-RU"/>
        </w:rPr>
      </w:pPr>
      <w:proofErr w:type="spellStart"/>
      <w:r>
        <w:rPr>
          <w:rFonts w:eastAsia="Times New Roman"/>
          <w:i/>
          <w:sz w:val="28"/>
          <w:szCs w:val="28"/>
          <w:lang w:eastAsia="ru-RU"/>
        </w:rPr>
        <w:t>к.е.н</w:t>
      </w:r>
      <w:proofErr w:type="spellEnd"/>
      <w:r>
        <w:rPr>
          <w:rFonts w:eastAsia="Times New Roman"/>
          <w:i/>
          <w:sz w:val="28"/>
          <w:szCs w:val="28"/>
          <w:lang w:eastAsia="ru-RU"/>
        </w:rPr>
        <w:t>,</w:t>
      </w:r>
      <w:r>
        <w:rPr>
          <w:rFonts w:eastAsia="Times New Roman"/>
          <w:i/>
          <w:sz w:val="28"/>
          <w:szCs w:val="28"/>
          <w:lang w:eastAsia="ru-RU"/>
        </w:rPr>
        <w:t>.</w:t>
      </w:r>
      <w:r w:rsidRPr="00E17CAC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E17CAC" w:rsidRPr="00E17CAC">
        <w:rPr>
          <w:rFonts w:eastAsia="Times New Roman"/>
          <w:i/>
          <w:sz w:val="28"/>
          <w:szCs w:val="28"/>
          <w:lang w:eastAsia="ru-RU"/>
        </w:rPr>
        <w:t>кафедр</w:t>
      </w:r>
      <w:r>
        <w:rPr>
          <w:rFonts w:eastAsia="Times New Roman"/>
          <w:i/>
          <w:sz w:val="28"/>
          <w:szCs w:val="28"/>
          <w:lang w:eastAsia="ru-RU"/>
        </w:rPr>
        <w:t>а</w:t>
      </w:r>
      <w:r w:rsidR="00E17CAC" w:rsidRPr="00E17CAC">
        <w:rPr>
          <w:rFonts w:eastAsia="Times New Roman"/>
          <w:i/>
          <w:sz w:val="28"/>
          <w:szCs w:val="28"/>
          <w:lang w:eastAsia="ru-RU"/>
        </w:rPr>
        <w:t xml:space="preserve"> фінансів ЧДІЕУ</w:t>
      </w:r>
    </w:p>
    <w:p w:rsidR="00E17CAC" w:rsidRPr="00E17CAC" w:rsidRDefault="00E17CAC" w:rsidP="00C214CE">
      <w:pPr>
        <w:tabs>
          <w:tab w:val="left" w:pos="720"/>
        </w:tabs>
        <w:ind w:left="1080" w:hanging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17CAC" w:rsidRPr="00E17CAC" w:rsidRDefault="00E17CAC" w:rsidP="00E17CAC">
      <w:pPr>
        <w:spacing w:line="360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E17CAC">
        <w:rPr>
          <w:rFonts w:eastAsia="Times New Roman"/>
          <w:b/>
          <w:sz w:val="28"/>
          <w:szCs w:val="28"/>
          <w:lang w:eastAsia="ru-RU"/>
        </w:rPr>
        <w:t xml:space="preserve">ОСОБЛИВОСТІ ДЕРЖАВНОГО РЕГУЛЮВАННЯ ЕКОНОМІКИ ДЕПРЕСИВНИХ </w:t>
      </w:r>
      <w:r w:rsidR="00463CA3">
        <w:rPr>
          <w:rFonts w:eastAsia="Times New Roman"/>
          <w:b/>
          <w:sz w:val="28"/>
          <w:szCs w:val="28"/>
          <w:lang w:eastAsia="ru-RU"/>
        </w:rPr>
        <w:t>РЕГІОНІВ</w:t>
      </w:r>
    </w:p>
    <w:p w:rsidR="00E17CAC" w:rsidRPr="00E17CAC" w:rsidRDefault="00E17CAC" w:rsidP="00C214CE">
      <w:pPr>
        <w:ind w:firstLine="540"/>
        <w:rPr>
          <w:rFonts w:eastAsia="Times New Roman"/>
          <w:b/>
          <w:sz w:val="28"/>
          <w:szCs w:val="28"/>
          <w:lang w:eastAsia="ru-RU"/>
        </w:rPr>
      </w:pPr>
    </w:p>
    <w:p w:rsidR="00E17CAC" w:rsidRPr="00E17CAC" w:rsidRDefault="00E17CAC" w:rsidP="00463CA3">
      <w:pPr>
        <w:spacing w:line="360" w:lineRule="auto"/>
        <w:rPr>
          <w:rFonts w:eastAsia="Times New Roman"/>
          <w:i/>
          <w:sz w:val="28"/>
          <w:szCs w:val="28"/>
          <w:lang w:eastAsia="ru-RU"/>
        </w:rPr>
      </w:pPr>
      <w:r w:rsidRPr="00E17CAC">
        <w:rPr>
          <w:rFonts w:eastAsia="Times New Roman"/>
          <w:b/>
          <w:i/>
          <w:sz w:val="28"/>
          <w:szCs w:val="28"/>
          <w:lang w:eastAsia="ru-RU"/>
        </w:rPr>
        <w:t>Анотація</w:t>
      </w:r>
      <w:r w:rsidRPr="00E17CAC">
        <w:rPr>
          <w:rFonts w:eastAsia="Times New Roman"/>
          <w:i/>
          <w:sz w:val="28"/>
          <w:szCs w:val="28"/>
          <w:lang w:eastAsia="ru-RU"/>
        </w:rPr>
        <w:t>.</w:t>
      </w:r>
      <w:r w:rsidRPr="00E17CAC">
        <w:rPr>
          <w:rFonts w:eastAsia="Times New Roman"/>
          <w:sz w:val="28"/>
          <w:szCs w:val="28"/>
          <w:lang w:eastAsia="ru-RU"/>
        </w:rPr>
        <w:t xml:space="preserve"> </w:t>
      </w:r>
      <w:r w:rsidRPr="00E17CAC">
        <w:rPr>
          <w:rFonts w:eastAsia="Times New Roman"/>
          <w:i/>
          <w:sz w:val="28"/>
          <w:szCs w:val="28"/>
          <w:lang w:eastAsia="ru-RU"/>
        </w:rPr>
        <w:t xml:space="preserve">У статті визначено </w:t>
      </w:r>
      <w:r w:rsidR="00986CB5">
        <w:rPr>
          <w:rFonts w:eastAsia="Times New Roman"/>
          <w:i/>
          <w:sz w:val="28"/>
          <w:szCs w:val="28"/>
          <w:lang w:eastAsia="ru-RU"/>
        </w:rPr>
        <w:t xml:space="preserve">ознаки депресивних регіонів, обґрунтовано необхідність та особливості </w:t>
      </w:r>
      <w:r w:rsidR="00C237A0">
        <w:rPr>
          <w:rFonts w:eastAsia="Times New Roman"/>
          <w:i/>
          <w:sz w:val="28"/>
          <w:szCs w:val="28"/>
          <w:lang w:eastAsia="ru-RU"/>
        </w:rPr>
        <w:t>державного регулювання економіки таких регіонів, запропоновано напрямки підвищення ефективності механізму державного регулювання</w:t>
      </w:r>
      <w:r w:rsidR="00C237A0" w:rsidRPr="00C237A0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C237A0" w:rsidRPr="00525672">
        <w:rPr>
          <w:rFonts w:eastAsia="Times New Roman"/>
          <w:i/>
          <w:sz w:val="28"/>
          <w:szCs w:val="28"/>
          <w:lang w:eastAsia="ru-RU"/>
        </w:rPr>
        <w:t>їх</w:t>
      </w:r>
      <w:r w:rsidR="00C237A0" w:rsidRPr="00525672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525672" w:rsidRPr="00525672">
        <w:rPr>
          <w:rFonts w:eastAsia="Times New Roman"/>
          <w:i/>
          <w:sz w:val="28"/>
          <w:szCs w:val="28"/>
          <w:lang w:eastAsia="ru-RU"/>
        </w:rPr>
        <w:t>розвитку</w:t>
      </w:r>
      <w:r w:rsidR="00C237A0" w:rsidRPr="00525672">
        <w:rPr>
          <w:rFonts w:eastAsia="Times New Roman"/>
          <w:i/>
          <w:sz w:val="28"/>
          <w:szCs w:val="28"/>
          <w:lang w:eastAsia="ru-RU"/>
        </w:rPr>
        <w:t>.</w:t>
      </w:r>
    </w:p>
    <w:p w:rsidR="00E17CAC" w:rsidRPr="00E17CAC" w:rsidRDefault="00E17CAC" w:rsidP="00463CA3">
      <w:pPr>
        <w:spacing w:line="360" w:lineRule="auto"/>
        <w:rPr>
          <w:rFonts w:eastAsia="Times New Roman"/>
          <w:i/>
          <w:sz w:val="28"/>
          <w:szCs w:val="28"/>
          <w:lang w:val="ru-RU" w:eastAsia="ru-RU"/>
        </w:rPr>
      </w:pPr>
      <w:r w:rsidRPr="00E17CAC">
        <w:rPr>
          <w:rFonts w:eastAsia="Times New Roman"/>
          <w:b/>
          <w:i/>
          <w:sz w:val="28"/>
          <w:szCs w:val="28"/>
          <w:lang w:val="ru-RU" w:eastAsia="ru-RU"/>
        </w:rPr>
        <w:t xml:space="preserve">Аннотация. </w:t>
      </w:r>
      <w:r w:rsidRPr="00E17CAC">
        <w:rPr>
          <w:rFonts w:eastAsia="Times New Roman"/>
          <w:i/>
          <w:sz w:val="28"/>
          <w:szCs w:val="28"/>
          <w:lang w:val="ru-RU" w:eastAsia="ru-RU"/>
        </w:rPr>
        <w:t>В статье определен</w:t>
      </w:r>
      <w:r w:rsidR="00C237A0">
        <w:rPr>
          <w:rFonts w:eastAsia="Times New Roman"/>
          <w:i/>
          <w:sz w:val="28"/>
          <w:szCs w:val="28"/>
          <w:lang w:val="ru-RU" w:eastAsia="ru-RU"/>
        </w:rPr>
        <w:t xml:space="preserve">ы признаки депрессивных регионов, обосновано необходимость и особенности государственного регулирования экономики таких регионов, предложены направления повышения эффективности механизма государственного регулирования </w:t>
      </w:r>
      <w:r w:rsidR="00525672">
        <w:rPr>
          <w:rFonts w:eastAsia="Times New Roman"/>
          <w:i/>
          <w:sz w:val="28"/>
          <w:szCs w:val="28"/>
          <w:lang w:val="ru-RU" w:eastAsia="ru-RU"/>
        </w:rPr>
        <w:t>их</w:t>
      </w:r>
      <w:r w:rsidR="00525672" w:rsidRPr="00E17CAC">
        <w:rPr>
          <w:rFonts w:eastAsia="Times New Roman"/>
          <w:i/>
          <w:sz w:val="28"/>
          <w:szCs w:val="28"/>
          <w:lang w:val="ru-RU" w:eastAsia="ru-RU"/>
        </w:rPr>
        <w:t xml:space="preserve"> </w:t>
      </w:r>
      <w:r w:rsidR="00525672">
        <w:rPr>
          <w:rFonts w:eastAsia="Times New Roman"/>
          <w:i/>
          <w:sz w:val="28"/>
          <w:szCs w:val="28"/>
          <w:lang w:val="ru-RU" w:eastAsia="ru-RU"/>
        </w:rPr>
        <w:t xml:space="preserve">развития. </w:t>
      </w:r>
    </w:p>
    <w:p w:rsidR="004D5F80" w:rsidRPr="00B64B2A" w:rsidRDefault="00E17CAC" w:rsidP="00463CA3">
      <w:pPr>
        <w:spacing w:line="360" w:lineRule="auto"/>
        <w:rPr>
          <w:rFonts w:eastAsia="Times New Roman"/>
          <w:i/>
          <w:sz w:val="28"/>
          <w:szCs w:val="28"/>
          <w:lang w:val="en-US" w:eastAsia="ru-RU"/>
        </w:rPr>
      </w:pPr>
      <w:proofErr w:type="gramStart"/>
      <w:r w:rsidRPr="00E17CAC">
        <w:rPr>
          <w:rFonts w:eastAsia="Times New Roman"/>
          <w:b/>
          <w:i/>
          <w:sz w:val="28"/>
          <w:szCs w:val="28"/>
          <w:lang w:val="en-US" w:eastAsia="ru-RU"/>
        </w:rPr>
        <w:t>Annotation.</w:t>
      </w:r>
      <w:proofErr w:type="gramEnd"/>
      <w:r w:rsidR="00AC5D05" w:rsidRPr="00AC5D05">
        <w:t xml:space="preserve"> </w:t>
      </w:r>
      <w:r w:rsidR="00AC5D05" w:rsidRPr="004D5F80">
        <w:rPr>
          <w:rFonts w:eastAsia="Times New Roman"/>
          <w:i/>
          <w:sz w:val="28"/>
          <w:szCs w:val="28"/>
          <w:lang w:val="en-US" w:eastAsia="ru-RU"/>
        </w:rPr>
        <w:t xml:space="preserve">Characteristics of depressed regions, </w:t>
      </w:r>
      <w:r w:rsidR="004D5F80" w:rsidRPr="004D5F80">
        <w:rPr>
          <w:rFonts w:eastAsia="Times New Roman"/>
          <w:i/>
          <w:sz w:val="28"/>
          <w:szCs w:val="28"/>
          <w:lang w:val="en-US" w:eastAsia="ru-RU"/>
        </w:rPr>
        <w:t xml:space="preserve">features </w:t>
      </w:r>
      <w:r w:rsidR="00B64B2A">
        <w:rPr>
          <w:rFonts w:eastAsia="Times New Roman"/>
          <w:i/>
          <w:sz w:val="28"/>
          <w:szCs w:val="28"/>
          <w:lang w:val="en-US" w:eastAsia="ru-RU"/>
        </w:rPr>
        <w:t xml:space="preserve">and </w:t>
      </w:r>
      <w:r w:rsidR="00B64B2A" w:rsidRPr="004D5F80">
        <w:rPr>
          <w:rFonts w:eastAsia="Times New Roman"/>
          <w:i/>
          <w:sz w:val="28"/>
          <w:szCs w:val="28"/>
          <w:lang w:val="en-US" w:eastAsia="ru-RU"/>
        </w:rPr>
        <w:t xml:space="preserve">ways of increasing the effectiveness of the mechanism </w:t>
      </w:r>
      <w:r w:rsidR="004D5F80" w:rsidRPr="004D5F80">
        <w:rPr>
          <w:rFonts w:eastAsia="Times New Roman"/>
          <w:i/>
          <w:sz w:val="28"/>
          <w:szCs w:val="28"/>
          <w:lang w:val="en-US" w:eastAsia="ru-RU"/>
        </w:rPr>
        <w:t>of state regulation of the economy such regions</w:t>
      </w:r>
      <w:r w:rsidR="00B64B2A">
        <w:rPr>
          <w:rFonts w:eastAsia="Times New Roman"/>
          <w:i/>
          <w:sz w:val="28"/>
          <w:szCs w:val="28"/>
          <w:lang w:val="en-US" w:eastAsia="ru-RU"/>
        </w:rPr>
        <w:t xml:space="preserve"> </w:t>
      </w:r>
      <w:r w:rsidR="00B64B2A" w:rsidRPr="00B64B2A">
        <w:rPr>
          <w:rFonts w:eastAsia="Times New Roman"/>
          <w:i/>
          <w:sz w:val="28"/>
          <w:szCs w:val="28"/>
          <w:lang w:val="en-US" w:eastAsia="ru-RU"/>
        </w:rPr>
        <w:t>are defined in th</w:t>
      </w:r>
      <w:r w:rsidR="00B64B2A">
        <w:rPr>
          <w:rFonts w:eastAsia="Times New Roman"/>
          <w:i/>
          <w:sz w:val="28"/>
          <w:szCs w:val="28"/>
          <w:lang w:val="en-US" w:eastAsia="ru-RU"/>
        </w:rPr>
        <w:t>e</w:t>
      </w:r>
      <w:r w:rsidR="00B64B2A" w:rsidRPr="00B64B2A">
        <w:rPr>
          <w:rFonts w:eastAsia="Times New Roman"/>
          <w:i/>
          <w:sz w:val="28"/>
          <w:szCs w:val="28"/>
          <w:lang w:val="en-US" w:eastAsia="ru-RU"/>
        </w:rPr>
        <w:t xml:space="preserve"> article</w:t>
      </w:r>
      <w:r w:rsidR="00B64B2A">
        <w:rPr>
          <w:rFonts w:eastAsia="Times New Roman"/>
          <w:i/>
          <w:sz w:val="28"/>
          <w:szCs w:val="28"/>
          <w:lang w:val="en-US" w:eastAsia="ru-RU"/>
        </w:rPr>
        <w:t>.</w:t>
      </w:r>
    </w:p>
    <w:p w:rsidR="00E17CAC" w:rsidRPr="00E17CAC" w:rsidRDefault="00E17CAC" w:rsidP="00463CA3">
      <w:pPr>
        <w:spacing w:line="360" w:lineRule="auto"/>
        <w:rPr>
          <w:rFonts w:eastAsia="Times New Roman"/>
          <w:i/>
          <w:sz w:val="28"/>
          <w:szCs w:val="28"/>
          <w:lang w:val="ru-RU" w:eastAsia="ru-RU"/>
        </w:rPr>
      </w:pPr>
      <w:r w:rsidRPr="00E17CAC">
        <w:rPr>
          <w:rFonts w:eastAsia="Times New Roman"/>
          <w:b/>
          <w:i/>
          <w:sz w:val="28"/>
          <w:szCs w:val="28"/>
          <w:lang w:eastAsia="ru-RU"/>
        </w:rPr>
        <w:t>Ключові слова:</w:t>
      </w:r>
      <w:r w:rsidR="00986CB5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="00986CB5" w:rsidRPr="00525672">
        <w:rPr>
          <w:rFonts w:eastAsia="Times New Roman"/>
          <w:i/>
          <w:sz w:val="28"/>
          <w:szCs w:val="28"/>
          <w:lang w:eastAsia="ru-RU"/>
        </w:rPr>
        <w:t>державне регулювання</w:t>
      </w:r>
      <w:r w:rsidR="00525672">
        <w:rPr>
          <w:rFonts w:eastAsia="Times New Roman"/>
          <w:i/>
          <w:sz w:val="28"/>
          <w:szCs w:val="28"/>
          <w:lang w:eastAsia="ru-RU"/>
        </w:rPr>
        <w:t xml:space="preserve"> економіки регіонів</w:t>
      </w:r>
      <w:r w:rsidR="00986CB5" w:rsidRPr="00525672">
        <w:rPr>
          <w:rFonts w:eastAsia="Times New Roman"/>
          <w:i/>
          <w:sz w:val="28"/>
          <w:szCs w:val="28"/>
          <w:lang w:eastAsia="ru-RU"/>
        </w:rPr>
        <w:t>,</w:t>
      </w:r>
      <w:r w:rsidR="00525672" w:rsidRPr="00525672">
        <w:rPr>
          <w:rFonts w:eastAsia="Times New Roman"/>
          <w:i/>
          <w:sz w:val="28"/>
          <w:szCs w:val="28"/>
          <w:lang w:eastAsia="ru-RU"/>
        </w:rPr>
        <w:t xml:space="preserve"> механізм державного</w:t>
      </w:r>
      <w:r w:rsidR="00986CB5" w:rsidRPr="00525672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525672" w:rsidRPr="00525672">
        <w:rPr>
          <w:rFonts w:eastAsia="Times New Roman"/>
          <w:i/>
          <w:sz w:val="28"/>
          <w:szCs w:val="28"/>
          <w:lang w:eastAsia="ru-RU"/>
        </w:rPr>
        <w:t xml:space="preserve">регулювання, </w:t>
      </w:r>
      <w:r w:rsidR="00986CB5" w:rsidRPr="00525672">
        <w:rPr>
          <w:rFonts w:eastAsia="Times New Roman"/>
          <w:i/>
          <w:sz w:val="28"/>
          <w:szCs w:val="28"/>
          <w:lang w:eastAsia="ru-RU"/>
        </w:rPr>
        <w:t>депресивн</w:t>
      </w:r>
      <w:r w:rsidR="00962612">
        <w:rPr>
          <w:rFonts w:eastAsia="Times New Roman"/>
          <w:i/>
          <w:sz w:val="28"/>
          <w:szCs w:val="28"/>
          <w:lang w:eastAsia="ru-RU"/>
        </w:rPr>
        <w:t>ий регіон</w:t>
      </w:r>
      <w:r w:rsidRPr="00E17CAC">
        <w:rPr>
          <w:rFonts w:eastAsia="Times New Roman"/>
          <w:i/>
          <w:sz w:val="28"/>
          <w:szCs w:val="28"/>
          <w:lang w:eastAsia="ru-RU"/>
        </w:rPr>
        <w:t xml:space="preserve">. </w:t>
      </w:r>
    </w:p>
    <w:p w:rsidR="00E17CAC" w:rsidRPr="00E17CAC" w:rsidRDefault="00E17CAC" w:rsidP="00463CA3">
      <w:pPr>
        <w:spacing w:line="360" w:lineRule="auto"/>
        <w:rPr>
          <w:rFonts w:eastAsia="Times New Roman"/>
          <w:i/>
          <w:sz w:val="28"/>
          <w:szCs w:val="28"/>
          <w:lang w:val="ru-RU" w:eastAsia="ru-RU"/>
        </w:rPr>
      </w:pPr>
      <w:r w:rsidRPr="00E17CAC">
        <w:rPr>
          <w:rFonts w:eastAsia="Times New Roman"/>
          <w:b/>
          <w:i/>
          <w:sz w:val="28"/>
          <w:szCs w:val="28"/>
          <w:lang w:val="ru-RU" w:eastAsia="ru-RU"/>
        </w:rPr>
        <w:t>Ключевые слова:</w:t>
      </w:r>
      <w:r w:rsidR="00525672">
        <w:rPr>
          <w:rFonts w:eastAsia="Times New Roman"/>
          <w:b/>
          <w:i/>
          <w:sz w:val="28"/>
          <w:szCs w:val="28"/>
          <w:lang w:val="ru-RU" w:eastAsia="ru-RU"/>
        </w:rPr>
        <w:t xml:space="preserve"> </w:t>
      </w:r>
      <w:r w:rsidR="00525672" w:rsidRPr="00525672">
        <w:rPr>
          <w:rFonts w:eastAsia="Times New Roman"/>
          <w:i/>
          <w:sz w:val="28"/>
          <w:szCs w:val="28"/>
          <w:lang w:val="ru-RU" w:eastAsia="ru-RU"/>
        </w:rPr>
        <w:t>государственно</w:t>
      </w:r>
      <w:r w:rsidR="00525672">
        <w:rPr>
          <w:rFonts w:eastAsia="Times New Roman"/>
          <w:i/>
          <w:sz w:val="28"/>
          <w:szCs w:val="28"/>
          <w:lang w:val="ru-RU" w:eastAsia="ru-RU"/>
        </w:rPr>
        <w:t>е</w:t>
      </w:r>
      <w:r w:rsidR="00525672" w:rsidRPr="00525672">
        <w:rPr>
          <w:rFonts w:eastAsia="Times New Roman"/>
          <w:i/>
          <w:sz w:val="28"/>
          <w:szCs w:val="28"/>
          <w:lang w:val="ru-RU" w:eastAsia="ru-RU"/>
        </w:rPr>
        <w:t xml:space="preserve"> регулировани</w:t>
      </w:r>
      <w:r w:rsidR="00525672">
        <w:rPr>
          <w:rFonts w:eastAsia="Times New Roman"/>
          <w:i/>
          <w:sz w:val="28"/>
          <w:szCs w:val="28"/>
          <w:lang w:val="ru-RU" w:eastAsia="ru-RU"/>
        </w:rPr>
        <w:t>е</w:t>
      </w:r>
      <w:r w:rsidR="00525672" w:rsidRPr="00525672">
        <w:rPr>
          <w:rFonts w:eastAsia="Times New Roman"/>
          <w:i/>
          <w:sz w:val="28"/>
          <w:szCs w:val="28"/>
          <w:lang w:val="ru-RU" w:eastAsia="ru-RU"/>
        </w:rPr>
        <w:t xml:space="preserve"> экономики регионов</w:t>
      </w:r>
      <w:r w:rsidR="00525672">
        <w:rPr>
          <w:rFonts w:eastAsia="Times New Roman"/>
          <w:i/>
          <w:sz w:val="28"/>
          <w:szCs w:val="28"/>
          <w:lang w:val="ru-RU" w:eastAsia="ru-RU"/>
        </w:rPr>
        <w:t>,</w:t>
      </w:r>
      <w:r w:rsidR="00525672" w:rsidRPr="00525672">
        <w:rPr>
          <w:rFonts w:eastAsia="Times New Roman"/>
          <w:i/>
          <w:sz w:val="28"/>
          <w:szCs w:val="28"/>
          <w:lang w:val="ru-RU" w:eastAsia="ru-RU"/>
        </w:rPr>
        <w:t xml:space="preserve"> механизм государственного регулирования</w:t>
      </w:r>
      <w:r w:rsidR="00525672">
        <w:rPr>
          <w:rFonts w:eastAsia="Times New Roman"/>
          <w:i/>
          <w:sz w:val="28"/>
          <w:szCs w:val="28"/>
          <w:lang w:val="ru-RU" w:eastAsia="ru-RU"/>
        </w:rPr>
        <w:t>,</w:t>
      </w:r>
      <w:r w:rsidR="00525672" w:rsidRPr="00525672">
        <w:t xml:space="preserve"> </w:t>
      </w:r>
      <w:r w:rsidR="00962612" w:rsidRPr="00525672">
        <w:rPr>
          <w:rFonts w:eastAsia="Times New Roman"/>
          <w:i/>
          <w:sz w:val="28"/>
          <w:szCs w:val="28"/>
          <w:lang w:val="ru-RU" w:eastAsia="ru-RU"/>
        </w:rPr>
        <w:t>депрессивн</w:t>
      </w:r>
      <w:r w:rsidR="00962612">
        <w:rPr>
          <w:rFonts w:eastAsia="Times New Roman"/>
          <w:i/>
          <w:sz w:val="28"/>
          <w:szCs w:val="28"/>
          <w:lang w:val="ru-RU" w:eastAsia="ru-RU"/>
        </w:rPr>
        <w:t>ый рег</w:t>
      </w:r>
      <w:r w:rsidR="00525672">
        <w:rPr>
          <w:rFonts w:eastAsia="Times New Roman"/>
          <w:i/>
          <w:sz w:val="28"/>
          <w:szCs w:val="28"/>
          <w:lang w:val="ru-RU" w:eastAsia="ru-RU"/>
        </w:rPr>
        <w:t>и</w:t>
      </w:r>
      <w:r w:rsidR="00962612">
        <w:rPr>
          <w:rFonts w:eastAsia="Times New Roman"/>
          <w:i/>
          <w:sz w:val="28"/>
          <w:szCs w:val="28"/>
          <w:lang w:val="ru-RU" w:eastAsia="ru-RU"/>
        </w:rPr>
        <w:t>он</w:t>
      </w:r>
      <w:r w:rsidRPr="00E17CAC">
        <w:rPr>
          <w:rFonts w:eastAsia="Times New Roman"/>
          <w:i/>
          <w:sz w:val="28"/>
          <w:szCs w:val="28"/>
          <w:lang w:val="ru-RU" w:eastAsia="ru-RU"/>
        </w:rPr>
        <w:t xml:space="preserve">. </w:t>
      </w:r>
    </w:p>
    <w:p w:rsidR="00E17CAC" w:rsidRPr="00E17CAC" w:rsidRDefault="00E17CAC" w:rsidP="00463CA3">
      <w:pPr>
        <w:spacing w:line="360" w:lineRule="auto"/>
        <w:rPr>
          <w:rFonts w:eastAsia="Times New Roman"/>
          <w:i/>
          <w:sz w:val="28"/>
          <w:szCs w:val="28"/>
          <w:lang w:val="en-US" w:eastAsia="ru-RU"/>
        </w:rPr>
      </w:pPr>
      <w:r w:rsidRPr="00E17CAC">
        <w:rPr>
          <w:rFonts w:eastAsia="Times New Roman"/>
          <w:b/>
          <w:i/>
          <w:sz w:val="28"/>
          <w:szCs w:val="28"/>
          <w:lang w:val="en-US" w:eastAsia="ru-RU"/>
        </w:rPr>
        <w:t>Key words:</w:t>
      </w:r>
      <w:r w:rsidR="00962612" w:rsidRPr="00962612">
        <w:rPr>
          <w:rFonts w:eastAsia="Times New Roman"/>
          <w:b/>
          <w:i/>
          <w:sz w:val="28"/>
          <w:szCs w:val="28"/>
          <w:lang w:val="en-US" w:eastAsia="ru-RU"/>
        </w:rPr>
        <w:t xml:space="preserve"> </w:t>
      </w:r>
      <w:r w:rsidR="00962612" w:rsidRPr="00962612">
        <w:rPr>
          <w:rFonts w:eastAsia="Times New Roman"/>
          <w:i/>
          <w:sz w:val="28"/>
          <w:szCs w:val="28"/>
          <w:lang w:val="en-US" w:eastAsia="ru-RU"/>
        </w:rPr>
        <w:t>government regulation</w:t>
      </w:r>
      <w:r w:rsidR="00962612" w:rsidRPr="00962612">
        <w:t xml:space="preserve"> </w:t>
      </w:r>
      <w:r w:rsidR="00962612" w:rsidRPr="00962612">
        <w:rPr>
          <w:rFonts w:eastAsia="Times New Roman"/>
          <w:i/>
          <w:sz w:val="28"/>
          <w:szCs w:val="28"/>
          <w:lang w:val="en-US" w:eastAsia="ru-RU"/>
        </w:rPr>
        <w:t>of the regional economy</w:t>
      </w:r>
      <w:r w:rsidR="00962612">
        <w:rPr>
          <w:rFonts w:eastAsia="Times New Roman"/>
          <w:i/>
          <w:sz w:val="28"/>
          <w:szCs w:val="28"/>
          <w:lang w:eastAsia="ru-RU"/>
        </w:rPr>
        <w:t>,</w:t>
      </w:r>
      <w:r w:rsidR="00962612" w:rsidRPr="00962612">
        <w:rPr>
          <w:rFonts w:eastAsia="Times New Roman"/>
          <w:b/>
          <w:i/>
          <w:sz w:val="28"/>
          <w:szCs w:val="28"/>
          <w:lang w:val="en-US" w:eastAsia="ru-RU"/>
        </w:rPr>
        <w:t xml:space="preserve"> </w:t>
      </w:r>
      <w:r w:rsidR="00AC5D05" w:rsidRPr="00AC5D05">
        <w:rPr>
          <w:rFonts w:eastAsia="Times New Roman"/>
          <w:i/>
          <w:sz w:val="28"/>
          <w:szCs w:val="28"/>
          <w:lang w:val="en-US" w:eastAsia="ru-RU"/>
        </w:rPr>
        <w:t xml:space="preserve">state regulation </w:t>
      </w:r>
      <w:r w:rsidR="00AC5D05" w:rsidRPr="00AC5D05">
        <w:rPr>
          <w:rFonts w:eastAsia="Times New Roman"/>
          <w:i/>
          <w:sz w:val="28"/>
          <w:szCs w:val="28"/>
          <w:lang w:val="en-US" w:eastAsia="ru-RU"/>
        </w:rPr>
        <w:t>mechanism</w:t>
      </w:r>
      <w:r w:rsidR="00AC5D05" w:rsidRPr="00AC5D05">
        <w:rPr>
          <w:rFonts w:eastAsia="Times New Roman"/>
          <w:i/>
          <w:sz w:val="28"/>
          <w:szCs w:val="28"/>
          <w:lang w:eastAsia="ru-RU"/>
        </w:rPr>
        <w:t>,</w:t>
      </w:r>
      <w:r w:rsidR="00AC5D05" w:rsidRPr="00AC5D05">
        <w:rPr>
          <w:rFonts w:eastAsia="Times New Roman"/>
          <w:i/>
          <w:sz w:val="28"/>
          <w:szCs w:val="28"/>
          <w:lang w:val="en-US" w:eastAsia="ru-RU"/>
        </w:rPr>
        <w:t xml:space="preserve"> </w:t>
      </w:r>
      <w:r w:rsidR="00962612" w:rsidRPr="00AC5D05">
        <w:rPr>
          <w:rFonts w:eastAsia="Times New Roman"/>
          <w:i/>
          <w:sz w:val="28"/>
          <w:szCs w:val="28"/>
          <w:lang w:val="en-US" w:eastAsia="ru-RU"/>
        </w:rPr>
        <w:t>depressed region</w:t>
      </w:r>
      <w:r w:rsidRPr="00E17CAC">
        <w:rPr>
          <w:rFonts w:eastAsia="Times New Roman"/>
          <w:i/>
          <w:iCs/>
          <w:sz w:val="28"/>
          <w:szCs w:val="28"/>
          <w:lang w:val="en-US" w:eastAsia="ru-RU"/>
        </w:rPr>
        <w:t>.</w:t>
      </w:r>
    </w:p>
    <w:p w:rsidR="00E17CAC" w:rsidRPr="00E17CAC" w:rsidRDefault="00463CA3" w:rsidP="00463CA3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F30591">
        <w:rPr>
          <w:b/>
          <w:i/>
          <w:sz w:val="28"/>
          <w:szCs w:val="28"/>
        </w:rPr>
        <w:t>Актуальність</w:t>
      </w:r>
      <w:r>
        <w:rPr>
          <w:b/>
          <w:i/>
          <w:sz w:val="28"/>
          <w:szCs w:val="28"/>
        </w:rPr>
        <w:t xml:space="preserve"> теми дослідження.</w:t>
      </w:r>
      <w:r>
        <w:rPr>
          <w:b/>
          <w:i/>
          <w:sz w:val="28"/>
          <w:szCs w:val="28"/>
        </w:rPr>
        <w:t xml:space="preserve"> </w:t>
      </w:r>
      <w:r w:rsidR="00E17CAC" w:rsidRPr="00E17CAC">
        <w:rPr>
          <w:rFonts w:eastAsia="Times New Roman"/>
          <w:sz w:val="28"/>
          <w:szCs w:val="28"/>
          <w:lang w:eastAsia="ru-RU"/>
        </w:rPr>
        <w:t xml:space="preserve">В умовах ринкової конкуренції не всім регіонам вдається повною мірою використати свої конкурентні переваги. У такій ситуації </w:t>
      </w:r>
      <w:r w:rsidR="00C214CE">
        <w:rPr>
          <w:rFonts w:eastAsia="Times New Roman"/>
          <w:sz w:val="28"/>
          <w:szCs w:val="28"/>
          <w:lang w:eastAsia="ru-RU"/>
        </w:rPr>
        <w:t>закономірною є</w:t>
      </w:r>
      <w:r w:rsidR="00E17CAC" w:rsidRPr="00E17CAC">
        <w:rPr>
          <w:rFonts w:eastAsia="Times New Roman"/>
          <w:sz w:val="28"/>
          <w:szCs w:val="28"/>
          <w:lang w:eastAsia="ru-RU"/>
        </w:rPr>
        <w:t xml:space="preserve"> поява територіальних утворень, для яких характерний низький рівень соціально-економічного розвитку, так званих «проблемних», «кризов</w:t>
      </w:r>
      <w:r w:rsidR="004347DE">
        <w:rPr>
          <w:rFonts w:eastAsia="Times New Roman"/>
          <w:sz w:val="28"/>
          <w:szCs w:val="28"/>
          <w:lang w:eastAsia="ru-RU"/>
        </w:rPr>
        <w:t xml:space="preserve">их» або «депресивних» територій, що, в свою чергу, вимагає розробки </w:t>
      </w:r>
      <w:r w:rsidR="00C214CE">
        <w:rPr>
          <w:rFonts w:eastAsia="Times New Roman"/>
          <w:sz w:val="28"/>
          <w:szCs w:val="28"/>
          <w:lang w:eastAsia="ru-RU"/>
        </w:rPr>
        <w:t>особливих</w:t>
      </w:r>
      <w:r w:rsidR="004347DE">
        <w:rPr>
          <w:rFonts w:eastAsia="Times New Roman"/>
          <w:sz w:val="28"/>
          <w:szCs w:val="28"/>
          <w:lang w:eastAsia="ru-RU"/>
        </w:rPr>
        <w:t xml:space="preserve"> підходів до державного регулювання їх </w:t>
      </w:r>
      <w:r w:rsidR="00C214CE">
        <w:rPr>
          <w:rFonts w:eastAsia="Times New Roman"/>
          <w:sz w:val="28"/>
          <w:szCs w:val="28"/>
          <w:lang w:eastAsia="ru-RU"/>
        </w:rPr>
        <w:t>розвитку</w:t>
      </w:r>
      <w:r w:rsidR="004347DE">
        <w:rPr>
          <w:rFonts w:eastAsia="Times New Roman"/>
          <w:sz w:val="28"/>
          <w:szCs w:val="28"/>
          <w:lang w:eastAsia="ru-RU"/>
        </w:rPr>
        <w:t>.</w:t>
      </w:r>
    </w:p>
    <w:p w:rsidR="00463CA3" w:rsidRDefault="00463CA3" w:rsidP="00463CA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30591">
        <w:rPr>
          <w:b/>
          <w:i/>
          <w:sz w:val="28"/>
          <w:szCs w:val="28"/>
        </w:rPr>
        <w:lastRenderedPageBreak/>
        <w:t>Аналіз останніх досліджень і публікацій</w:t>
      </w:r>
      <w:r>
        <w:rPr>
          <w:sz w:val="28"/>
          <w:szCs w:val="28"/>
        </w:rPr>
        <w:t>.</w:t>
      </w:r>
      <w:r w:rsidR="009B786E" w:rsidRPr="009B786E">
        <w:t xml:space="preserve"> </w:t>
      </w:r>
      <w:r w:rsidR="009B786E" w:rsidRPr="009B786E">
        <w:rPr>
          <w:sz w:val="28"/>
          <w:szCs w:val="28"/>
        </w:rPr>
        <w:t>Незважаючи на значну кількість</w:t>
      </w:r>
      <w:r w:rsidR="009B786E">
        <w:rPr>
          <w:sz w:val="28"/>
          <w:szCs w:val="28"/>
        </w:rPr>
        <w:t xml:space="preserve"> досліджень, присвячених проблемі державного регулювання економіки </w:t>
      </w:r>
      <w:r w:rsidR="00045B2F">
        <w:rPr>
          <w:sz w:val="28"/>
          <w:szCs w:val="28"/>
        </w:rPr>
        <w:t xml:space="preserve">проблемних </w:t>
      </w:r>
      <w:r w:rsidR="009B786E">
        <w:rPr>
          <w:sz w:val="28"/>
          <w:szCs w:val="28"/>
        </w:rPr>
        <w:t xml:space="preserve">регіонів, </w:t>
      </w:r>
      <w:r w:rsidR="009B786E" w:rsidRPr="009B786E">
        <w:rPr>
          <w:sz w:val="28"/>
          <w:szCs w:val="28"/>
        </w:rPr>
        <w:t xml:space="preserve">не приділено належної уваги генезису </w:t>
      </w:r>
      <w:r w:rsidR="00045B2F">
        <w:rPr>
          <w:sz w:val="28"/>
          <w:szCs w:val="28"/>
        </w:rPr>
        <w:t xml:space="preserve">депресивних </w:t>
      </w:r>
      <w:r w:rsidR="009B786E" w:rsidRPr="009B786E">
        <w:rPr>
          <w:sz w:val="28"/>
          <w:szCs w:val="28"/>
        </w:rPr>
        <w:t xml:space="preserve">територій, недостатньо оцінюється їх внутрішній потенціал, не розроблено комплексного підходу до реалізації організаційно-економічного механізму та методичного інструментарію </w:t>
      </w:r>
      <w:r w:rsidR="009B786E">
        <w:rPr>
          <w:sz w:val="28"/>
          <w:szCs w:val="28"/>
        </w:rPr>
        <w:t xml:space="preserve">державного </w:t>
      </w:r>
      <w:r w:rsidR="009B786E" w:rsidRPr="009B786E">
        <w:rPr>
          <w:sz w:val="28"/>
          <w:szCs w:val="28"/>
        </w:rPr>
        <w:t xml:space="preserve">регулювання </w:t>
      </w:r>
      <w:r w:rsidR="009B786E">
        <w:rPr>
          <w:sz w:val="28"/>
          <w:szCs w:val="28"/>
        </w:rPr>
        <w:t xml:space="preserve">економіки </w:t>
      </w:r>
      <w:r w:rsidR="009B786E" w:rsidRPr="009B786E">
        <w:rPr>
          <w:sz w:val="28"/>
          <w:szCs w:val="28"/>
        </w:rPr>
        <w:t>таких територій.</w:t>
      </w:r>
    </w:p>
    <w:p w:rsidR="00EB1E72" w:rsidRPr="00EB1E72" w:rsidRDefault="00463CA3" w:rsidP="00463CA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30591">
        <w:rPr>
          <w:b/>
          <w:i/>
          <w:sz w:val="28"/>
          <w:szCs w:val="28"/>
        </w:rPr>
        <w:t>Постановка завдання</w:t>
      </w:r>
      <w:r>
        <w:rPr>
          <w:b/>
          <w:i/>
          <w:sz w:val="28"/>
          <w:szCs w:val="28"/>
        </w:rPr>
        <w:t>.</w:t>
      </w:r>
      <w:r w:rsidR="00B244D3">
        <w:rPr>
          <w:b/>
          <w:i/>
          <w:sz w:val="28"/>
          <w:szCs w:val="28"/>
        </w:rPr>
        <w:t xml:space="preserve"> </w:t>
      </w:r>
      <w:r w:rsidR="00EB1E72" w:rsidRPr="00EB1E72">
        <w:rPr>
          <w:sz w:val="28"/>
          <w:szCs w:val="28"/>
        </w:rPr>
        <w:t xml:space="preserve">Враховуючи </w:t>
      </w:r>
      <w:r w:rsidR="00EB1E72">
        <w:rPr>
          <w:sz w:val="28"/>
          <w:szCs w:val="28"/>
        </w:rPr>
        <w:t xml:space="preserve">нагальну </w:t>
      </w:r>
      <w:r w:rsidR="00EB1E72" w:rsidRPr="00EB1E72">
        <w:rPr>
          <w:sz w:val="28"/>
          <w:szCs w:val="28"/>
        </w:rPr>
        <w:t xml:space="preserve">потребу </w:t>
      </w:r>
      <w:r w:rsidR="00EB1E72">
        <w:rPr>
          <w:sz w:val="28"/>
          <w:szCs w:val="28"/>
        </w:rPr>
        <w:t xml:space="preserve">переосмислення ролі держави у соціально-економічному розвитку регіонів та </w:t>
      </w:r>
      <w:r w:rsidR="00EB1E72" w:rsidRPr="00EB1E72">
        <w:rPr>
          <w:sz w:val="28"/>
          <w:szCs w:val="28"/>
        </w:rPr>
        <w:t xml:space="preserve">розробки ефективного механізму </w:t>
      </w:r>
      <w:r w:rsidR="00EB1E72">
        <w:rPr>
          <w:sz w:val="28"/>
          <w:szCs w:val="28"/>
        </w:rPr>
        <w:t xml:space="preserve">їх </w:t>
      </w:r>
      <w:r w:rsidR="00EB1E72" w:rsidRPr="00EB1E72">
        <w:rPr>
          <w:sz w:val="28"/>
          <w:szCs w:val="28"/>
        </w:rPr>
        <w:t>державного регулювання</w:t>
      </w:r>
      <w:r w:rsidR="00EB1E72">
        <w:rPr>
          <w:sz w:val="28"/>
          <w:szCs w:val="28"/>
        </w:rPr>
        <w:t>, метою статті є ви</w:t>
      </w:r>
      <w:r w:rsidR="00B244D3" w:rsidRPr="00EB1E72">
        <w:rPr>
          <w:sz w:val="28"/>
          <w:szCs w:val="28"/>
        </w:rPr>
        <w:t xml:space="preserve">значення </w:t>
      </w:r>
      <w:r w:rsidR="00986CB5">
        <w:rPr>
          <w:sz w:val="28"/>
          <w:szCs w:val="28"/>
        </w:rPr>
        <w:t>ознак</w:t>
      </w:r>
      <w:r w:rsidR="00B244D3" w:rsidRPr="00EB1E72">
        <w:rPr>
          <w:sz w:val="28"/>
          <w:szCs w:val="28"/>
        </w:rPr>
        <w:t xml:space="preserve"> депресивних територій, необхідності та особливостей держ</w:t>
      </w:r>
      <w:r w:rsidR="00EB1E72" w:rsidRPr="00EB1E72">
        <w:rPr>
          <w:sz w:val="28"/>
          <w:szCs w:val="28"/>
        </w:rPr>
        <w:t xml:space="preserve">авного регулювання економіки регіонів, </w:t>
      </w:r>
      <w:r w:rsidR="00986CB5">
        <w:rPr>
          <w:sz w:val="28"/>
          <w:szCs w:val="28"/>
        </w:rPr>
        <w:t>які</w:t>
      </w:r>
      <w:r w:rsidR="00B0642E">
        <w:rPr>
          <w:sz w:val="28"/>
          <w:szCs w:val="28"/>
        </w:rPr>
        <w:t xml:space="preserve"> мають</w:t>
      </w:r>
      <w:r w:rsidR="00986CB5">
        <w:rPr>
          <w:sz w:val="28"/>
          <w:szCs w:val="28"/>
        </w:rPr>
        <w:t xml:space="preserve"> </w:t>
      </w:r>
      <w:r w:rsidR="00EB1E72" w:rsidRPr="00EB1E72">
        <w:rPr>
          <w:sz w:val="28"/>
          <w:szCs w:val="28"/>
        </w:rPr>
        <w:t>депресивні тенденції.</w:t>
      </w:r>
    </w:p>
    <w:p w:rsidR="00E17CAC" w:rsidRPr="00E17CAC" w:rsidRDefault="00463CA3" w:rsidP="00463CA3">
      <w:pPr>
        <w:autoSpaceDE w:val="0"/>
        <w:autoSpaceDN w:val="0"/>
        <w:adjustRightInd w:val="0"/>
        <w:spacing w:line="360" w:lineRule="auto"/>
        <w:rPr>
          <w:rFonts w:eastAsia="Times New Roman"/>
          <w:sz w:val="28"/>
          <w:szCs w:val="28"/>
          <w:lang w:eastAsia="ru-RU"/>
        </w:rPr>
      </w:pPr>
      <w:r w:rsidRPr="005A6C71">
        <w:rPr>
          <w:b/>
          <w:i/>
          <w:sz w:val="28"/>
          <w:szCs w:val="28"/>
        </w:rPr>
        <w:t>Виклад основного матеріалу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У сучасних умовах </w:t>
      </w:r>
      <w:r w:rsidR="00E17CAC" w:rsidRPr="00E17CAC">
        <w:rPr>
          <w:rFonts w:eastAsia="Times New Roman"/>
          <w:sz w:val="28"/>
          <w:szCs w:val="28"/>
          <w:lang w:eastAsia="ru-RU"/>
        </w:rPr>
        <w:t>особливої актуальності набули підходи, спрямовані на регіональний розвиток, який має на меті задоволення ширшого кола потреб певної території (яка прийшла в занепад або перебуває у стані структурних перетворень), а не потреб конкретного сектора або його виробничих центрів, тобто цей підхід полягає у формуванні умов для розвитку регіону, а не в прямому «підійманні» конкретних галузей [</w:t>
      </w:r>
      <w:r w:rsidR="00E45C9D">
        <w:rPr>
          <w:rFonts w:eastAsia="Times New Roman"/>
          <w:sz w:val="28"/>
          <w:szCs w:val="28"/>
          <w:lang w:eastAsia="ru-RU"/>
        </w:rPr>
        <w:t>4</w:t>
      </w:r>
      <w:r w:rsidR="00E17CAC" w:rsidRPr="00E17CAC">
        <w:rPr>
          <w:rFonts w:eastAsia="Times New Roman"/>
          <w:sz w:val="28"/>
          <w:szCs w:val="28"/>
          <w:lang w:eastAsia="ru-RU"/>
        </w:rPr>
        <w:t>, c. 6].</w:t>
      </w:r>
    </w:p>
    <w:p w:rsidR="00B35990" w:rsidRPr="003B00B5" w:rsidRDefault="00B35990" w:rsidP="00B35990">
      <w:pPr>
        <w:spacing w:line="360" w:lineRule="auto"/>
        <w:ind w:firstLine="570"/>
        <w:rPr>
          <w:rFonts w:eastAsia="Times New Roman"/>
          <w:sz w:val="28"/>
          <w:szCs w:val="28"/>
          <w:lang w:eastAsia="ru-RU"/>
        </w:rPr>
      </w:pPr>
      <w:r w:rsidRPr="003B00B5">
        <w:rPr>
          <w:rFonts w:eastAsia="Times New Roman"/>
          <w:sz w:val="28"/>
          <w:szCs w:val="28"/>
          <w:lang w:eastAsia="ru-RU"/>
        </w:rPr>
        <w:t xml:space="preserve">Для регіонів як принципово нових типів інститутів </w:t>
      </w:r>
      <w:r>
        <w:rPr>
          <w:rFonts w:eastAsia="Times New Roman"/>
          <w:sz w:val="28"/>
          <w:szCs w:val="28"/>
          <w:lang w:eastAsia="ru-RU"/>
        </w:rPr>
        <w:t xml:space="preserve">питання розробки ефективного механізму державного регулювання їх економіки </w:t>
      </w:r>
      <w:r w:rsidRPr="003B00B5">
        <w:rPr>
          <w:rFonts w:eastAsia="Times New Roman"/>
          <w:sz w:val="28"/>
          <w:szCs w:val="28"/>
          <w:lang w:eastAsia="ru-RU"/>
        </w:rPr>
        <w:t>до цього часу залишається відкритим. Особливої актуальності</w:t>
      </w:r>
      <w:r>
        <w:rPr>
          <w:rFonts w:eastAsia="Times New Roman"/>
          <w:sz w:val="28"/>
          <w:szCs w:val="28"/>
          <w:lang w:eastAsia="ru-RU"/>
        </w:rPr>
        <w:t xml:space="preserve"> ця</w:t>
      </w:r>
      <w:r w:rsidRPr="003B00B5">
        <w:rPr>
          <w:rFonts w:eastAsia="Times New Roman"/>
          <w:sz w:val="28"/>
          <w:szCs w:val="28"/>
          <w:lang w:eastAsia="ru-RU"/>
        </w:rPr>
        <w:t xml:space="preserve"> проблема набуває для територій, які знаходяться в стані депресії і не здатні повною мірою виконувати функцію відтворення якісних ресурсів, у першу чергу, людського потенціалу.</w:t>
      </w:r>
    </w:p>
    <w:p w:rsidR="00A57F80" w:rsidRDefault="00B35990" w:rsidP="00A57F80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4547CF">
        <w:rPr>
          <w:sz w:val="28"/>
          <w:szCs w:val="28"/>
        </w:rPr>
        <w:t>Трансформаційні зміни, що тривають в Україні останні десятиліття, та розбалансованість української економіки надзвичайно посилили диспропорції розвитку окремих її територіальних утворень</w:t>
      </w:r>
      <w:r>
        <w:rPr>
          <w:sz w:val="28"/>
          <w:szCs w:val="28"/>
        </w:rPr>
        <w:t xml:space="preserve">. </w:t>
      </w:r>
      <w:r w:rsidR="00A57F80" w:rsidRPr="003B00B5">
        <w:rPr>
          <w:rFonts w:eastAsia="Times New Roman"/>
          <w:sz w:val="28"/>
          <w:szCs w:val="28"/>
          <w:lang w:eastAsia="ru-RU"/>
        </w:rPr>
        <w:t>Слабка дієвість і низька ефективність існуючих регулювальних механізмів традиційного типу створюють передумови для несправедливого перерозподілу ресурсів, їх концентрації на центральному рівні, а також дестабілізації соціально-економічної ситуації в окремих регіонах і в країні загалом [</w:t>
      </w:r>
      <w:r w:rsidR="00E45C9D">
        <w:rPr>
          <w:rFonts w:eastAsia="Times New Roman"/>
          <w:sz w:val="28"/>
          <w:szCs w:val="28"/>
          <w:lang w:eastAsia="ru-RU"/>
        </w:rPr>
        <w:t>2</w:t>
      </w:r>
      <w:r w:rsidR="00A57F80" w:rsidRPr="003B00B5">
        <w:rPr>
          <w:rFonts w:eastAsia="Times New Roman"/>
          <w:sz w:val="28"/>
          <w:szCs w:val="28"/>
          <w:lang w:eastAsia="ru-RU"/>
        </w:rPr>
        <w:t xml:space="preserve">, с. 16].  </w:t>
      </w:r>
    </w:p>
    <w:p w:rsidR="00B35990" w:rsidRPr="00B35990" w:rsidRDefault="00B35990" w:rsidP="00B35990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B35990">
        <w:rPr>
          <w:rFonts w:eastAsia="Times New Roman"/>
          <w:sz w:val="28"/>
          <w:szCs w:val="28"/>
          <w:lang w:eastAsia="ru-RU"/>
        </w:rPr>
        <w:lastRenderedPageBreak/>
        <w:t xml:space="preserve">Депресивні території принципово відрізняються від відсталих (слаборозвинутих) тим, що при гірших, ніж у середньому по країні, соціально-економічних показниках (темпи спаду виробництва у розрахунку на одного жителя, середньомісячні доходи працюючих, рівень безробіття, забезпеченість населення соціальними послугами, ступінь </w:t>
      </w:r>
      <w:proofErr w:type="spellStart"/>
      <w:r w:rsidRPr="00B35990">
        <w:rPr>
          <w:rFonts w:eastAsia="Times New Roman"/>
          <w:sz w:val="28"/>
          <w:szCs w:val="28"/>
          <w:lang w:eastAsia="ru-RU"/>
        </w:rPr>
        <w:t>дотаційності</w:t>
      </w:r>
      <w:proofErr w:type="spellEnd"/>
      <w:r w:rsidRPr="00B35990">
        <w:rPr>
          <w:rFonts w:eastAsia="Times New Roman"/>
          <w:sz w:val="28"/>
          <w:szCs w:val="28"/>
          <w:lang w:eastAsia="ru-RU"/>
        </w:rPr>
        <w:t xml:space="preserve"> місцевого бюджету та ін.) на даний час, у минулому ці регіони були розвинутими, а за виробництвом деяких продуктів посідали провідні місця в країні</w:t>
      </w:r>
      <w:r>
        <w:rPr>
          <w:rFonts w:eastAsia="Times New Roman"/>
          <w:sz w:val="28"/>
          <w:szCs w:val="28"/>
          <w:lang w:eastAsia="ru-RU"/>
        </w:rPr>
        <w:t>.</w:t>
      </w:r>
      <w:r w:rsidRPr="00B35990">
        <w:rPr>
          <w:rFonts w:eastAsia="Times New Roman"/>
          <w:sz w:val="28"/>
          <w:szCs w:val="28"/>
          <w:lang w:eastAsia="ru-RU"/>
        </w:rPr>
        <w:t xml:space="preserve"> [1, с 53].</w:t>
      </w:r>
      <w:r w:rsidR="00D50D1C" w:rsidRPr="00D50D1C">
        <w:rPr>
          <w:rFonts w:eastAsia="Times New Roman"/>
          <w:sz w:val="28"/>
          <w:szCs w:val="28"/>
          <w:lang w:eastAsia="ru-RU"/>
        </w:rPr>
        <w:t xml:space="preserve"> </w:t>
      </w:r>
    </w:p>
    <w:p w:rsidR="00A57F80" w:rsidRDefault="00B35990" w:rsidP="00D50D1C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B35990">
        <w:rPr>
          <w:rFonts w:eastAsia="Times New Roman"/>
          <w:sz w:val="28"/>
          <w:szCs w:val="28"/>
          <w:lang w:eastAsia="ru-RU"/>
        </w:rPr>
        <w:t xml:space="preserve">Узагальнення підходів до визначення сутності депресивних </w:t>
      </w:r>
      <w:r w:rsidR="00D50D1C">
        <w:rPr>
          <w:rFonts w:eastAsia="Times New Roman"/>
          <w:sz w:val="28"/>
          <w:szCs w:val="28"/>
          <w:lang w:eastAsia="ru-RU"/>
        </w:rPr>
        <w:t>регіонів</w:t>
      </w:r>
      <w:r w:rsidRPr="00B35990">
        <w:rPr>
          <w:rFonts w:eastAsia="Times New Roman"/>
          <w:sz w:val="28"/>
          <w:szCs w:val="28"/>
          <w:lang w:eastAsia="ru-RU"/>
        </w:rPr>
        <w:t xml:space="preserve"> дало можливість виділити такі їх ознаки: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35990">
        <w:rPr>
          <w:rFonts w:eastAsia="Times New Roman"/>
          <w:sz w:val="28"/>
          <w:szCs w:val="28"/>
          <w:lang w:eastAsia="ru-RU"/>
        </w:rPr>
        <w:t>скорочення або призупинення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35990">
        <w:rPr>
          <w:rFonts w:eastAsia="Times New Roman"/>
          <w:sz w:val="28"/>
          <w:szCs w:val="28"/>
          <w:lang w:eastAsia="ru-RU"/>
        </w:rPr>
        <w:t>зростання обсягів валового регіонального продукту, відсутність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35990">
        <w:rPr>
          <w:rFonts w:eastAsia="Times New Roman"/>
          <w:sz w:val="28"/>
          <w:szCs w:val="28"/>
          <w:lang w:eastAsia="ru-RU"/>
        </w:rPr>
        <w:t>розширеного відтворення ресурсів, високий рівень безробіття, низький рівень доходів населення,</w:t>
      </w:r>
      <w:r w:rsidR="00D50D1C">
        <w:rPr>
          <w:rFonts w:eastAsia="Times New Roman"/>
          <w:sz w:val="28"/>
          <w:szCs w:val="28"/>
          <w:lang w:eastAsia="ru-RU"/>
        </w:rPr>
        <w:t xml:space="preserve"> </w:t>
      </w:r>
      <w:r w:rsidRPr="00B35990">
        <w:rPr>
          <w:rFonts w:eastAsia="Times New Roman"/>
          <w:sz w:val="28"/>
          <w:szCs w:val="28"/>
          <w:lang w:eastAsia="ru-RU"/>
        </w:rPr>
        <w:t>зниження конкурентоспроможності та інвестиційної привабливості території.</w:t>
      </w:r>
      <w:r w:rsidR="00A57F80">
        <w:rPr>
          <w:rFonts w:eastAsia="Times New Roman"/>
          <w:sz w:val="28"/>
          <w:szCs w:val="28"/>
          <w:lang w:eastAsia="ru-RU"/>
        </w:rPr>
        <w:t xml:space="preserve"> </w:t>
      </w:r>
    </w:p>
    <w:p w:rsidR="00A57F80" w:rsidRPr="00D50D1C" w:rsidRDefault="00A57F80" w:rsidP="00A57F80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</w:t>
      </w:r>
      <w:r w:rsidRPr="00D50D1C">
        <w:rPr>
          <w:rFonts w:eastAsia="Times New Roman"/>
          <w:sz w:val="28"/>
          <w:szCs w:val="28"/>
          <w:lang w:eastAsia="ru-RU"/>
        </w:rPr>
        <w:t xml:space="preserve">еобхідність державного регулювання </w:t>
      </w:r>
      <w:r>
        <w:rPr>
          <w:rFonts w:eastAsia="Times New Roman"/>
          <w:sz w:val="28"/>
          <w:szCs w:val="28"/>
          <w:lang w:eastAsia="ru-RU"/>
        </w:rPr>
        <w:t xml:space="preserve">економіки </w:t>
      </w:r>
      <w:r w:rsidRPr="00D50D1C">
        <w:rPr>
          <w:rFonts w:eastAsia="Times New Roman"/>
          <w:sz w:val="28"/>
          <w:szCs w:val="28"/>
          <w:lang w:eastAsia="ru-RU"/>
        </w:rPr>
        <w:t xml:space="preserve">депресивних </w:t>
      </w:r>
      <w:r>
        <w:rPr>
          <w:rFonts w:eastAsia="Times New Roman"/>
          <w:sz w:val="28"/>
          <w:szCs w:val="28"/>
          <w:lang w:eastAsia="ru-RU"/>
        </w:rPr>
        <w:t>регіонів обумовлена</w:t>
      </w:r>
      <w:r w:rsidRPr="00D50D1C">
        <w:rPr>
          <w:rFonts w:eastAsia="Times New Roman"/>
          <w:sz w:val="28"/>
          <w:szCs w:val="28"/>
          <w:lang w:eastAsia="ru-RU"/>
        </w:rPr>
        <w:t>:</w:t>
      </w:r>
    </w:p>
    <w:p w:rsidR="00A57F80" w:rsidRPr="00C214CE" w:rsidRDefault="00A57F80" w:rsidP="00C214CE">
      <w:pPr>
        <w:pStyle w:val="a9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C214CE">
        <w:rPr>
          <w:rFonts w:eastAsia="Times New Roman"/>
          <w:sz w:val="28"/>
          <w:szCs w:val="28"/>
          <w:lang w:eastAsia="ru-RU"/>
        </w:rPr>
        <w:t>неможливістю забезпечення макроекономічної стабілізації економіки країни за умов стагнації розвитку окремих її  територій;</w:t>
      </w:r>
    </w:p>
    <w:p w:rsidR="00A57F80" w:rsidRPr="00C214CE" w:rsidRDefault="00A57F80" w:rsidP="00C214CE">
      <w:pPr>
        <w:pStyle w:val="a9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C214CE">
        <w:rPr>
          <w:rFonts w:eastAsia="Times New Roman"/>
          <w:sz w:val="28"/>
          <w:szCs w:val="28"/>
          <w:lang w:eastAsia="ru-RU"/>
        </w:rPr>
        <w:t>нерівномірністю територіального розміщення продуктивних сил, різним рівнем економічного розвитку і, як наслідок, диференціації податкового потенціалу регіонів;</w:t>
      </w:r>
    </w:p>
    <w:p w:rsidR="00A57F80" w:rsidRPr="00C214CE" w:rsidRDefault="00A57F80" w:rsidP="00C214CE">
      <w:pPr>
        <w:pStyle w:val="a9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C214CE">
        <w:rPr>
          <w:rFonts w:eastAsia="Times New Roman"/>
          <w:sz w:val="28"/>
          <w:szCs w:val="28"/>
          <w:lang w:eastAsia="ru-RU"/>
        </w:rPr>
        <w:t>відмінністю рівня життя в промислових та сільських районах, диференціацією  вартості соціальних послуг;</w:t>
      </w:r>
    </w:p>
    <w:p w:rsidR="00A57F80" w:rsidRPr="00C214CE" w:rsidRDefault="00A57F80" w:rsidP="00C214CE">
      <w:pPr>
        <w:pStyle w:val="a9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C214CE">
        <w:rPr>
          <w:rFonts w:eastAsia="Times New Roman"/>
          <w:sz w:val="28"/>
          <w:szCs w:val="28"/>
          <w:lang w:eastAsia="ru-RU"/>
        </w:rPr>
        <w:t>наявністю вертикальних фіскальних дисбалансів (невідповідністю фінансових ресурсів визначеним повноваженням).</w:t>
      </w:r>
    </w:p>
    <w:p w:rsidR="00F65AEE" w:rsidRDefault="002E505D" w:rsidP="00A34108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2E505D">
        <w:rPr>
          <w:rFonts w:eastAsia="Times New Roman"/>
          <w:sz w:val="28"/>
          <w:szCs w:val="28"/>
          <w:lang w:eastAsia="ru-RU"/>
        </w:rPr>
        <w:t xml:space="preserve">Державне регулювання </w:t>
      </w:r>
      <w:r>
        <w:rPr>
          <w:rFonts w:eastAsia="Times New Roman"/>
          <w:sz w:val="28"/>
          <w:szCs w:val="28"/>
          <w:lang w:eastAsia="ru-RU"/>
        </w:rPr>
        <w:t xml:space="preserve">економіки </w:t>
      </w:r>
      <w:r w:rsidRPr="002E505D">
        <w:rPr>
          <w:rFonts w:eastAsia="Times New Roman"/>
          <w:sz w:val="28"/>
          <w:szCs w:val="28"/>
          <w:lang w:eastAsia="ru-RU"/>
        </w:rPr>
        <w:t xml:space="preserve">депресивних </w:t>
      </w:r>
      <w:r>
        <w:rPr>
          <w:rFonts w:eastAsia="Times New Roman"/>
          <w:sz w:val="28"/>
          <w:szCs w:val="28"/>
          <w:lang w:eastAsia="ru-RU"/>
        </w:rPr>
        <w:t>регіонів</w:t>
      </w:r>
      <w:r w:rsidRPr="002E505D">
        <w:rPr>
          <w:rFonts w:eastAsia="Times New Roman"/>
          <w:sz w:val="28"/>
          <w:szCs w:val="28"/>
          <w:lang w:eastAsia="ru-RU"/>
        </w:rPr>
        <w:t xml:space="preserve"> – це  цілеспрямований вплив держави </w:t>
      </w:r>
      <w:r>
        <w:rPr>
          <w:rFonts w:eastAsia="Times New Roman"/>
          <w:sz w:val="28"/>
          <w:szCs w:val="28"/>
          <w:lang w:eastAsia="ru-RU"/>
        </w:rPr>
        <w:t>на</w:t>
      </w:r>
      <w:r w:rsidR="00F65AEE" w:rsidRPr="00F65AEE">
        <w:rPr>
          <w:rFonts w:eastAsia="Times New Roman"/>
          <w:sz w:val="28"/>
          <w:szCs w:val="28"/>
          <w:lang w:eastAsia="ru-RU"/>
        </w:rPr>
        <w:t xml:space="preserve"> процес</w:t>
      </w:r>
      <w:r w:rsidR="00F65AEE">
        <w:rPr>
          <w:rFonts w:eastAsia="Times New Roman"/>
          <w:sz w:val="28"/>
          <w:szCs w:val="28"/>
          <w:lang w:eastAsia="ru-RU"/>
        </w:rPr>
        <w:t>и</w:t>
      </w:r>
      <w:r w:rsidR="00F65AEE" w:rsidRPr="00F65AEE">
        <w:rPr>
          <w:rFonts w:eastAsia="Times New Roman"/>
          <w:sz w:val="28"/>
          <w:szCs w:val="28"/>
          <w:lang w:eastAsia="ru-RU"/>
        </w:rPr>
        <w:t xml:space="preserve"> формування та використання економічних ресурсів </w:t>
      </w:r>
      <w:r w:rsidR="00F65AEE">
        <w:rPr>
          <w:rFonts w:eastAsia="Times New Roman"/>
          <w:sz w:val="28"/>
          <w:szCs w:val="28"/>
          <w:lang w:eastAsia="ru-RU"/>
        </w:rPr>
        <w:t>на таких територіях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E505D">
        <w:rPr>
          <w:rFonts w:eastAsia="Times New Roman"/>
          <w:sz w:val="28"/>
          <w:szCs w:val="28"/>
          <w:lang w:eastAsia="ru-RU"/>
        </w:rPr>
        <w:t xml:space="preserve">шляхом використання різних форм, методів, інструментарію регулювання соціально-економічних відносин з метою подолання спадних тенденцій та забезпечення сталого </w:t>
      </w:r>
      <w:r>
        <w:rPr>
          <w:rFonts w:eastAsia="Times New Roman"/>
          <w:sz w:val="28"/>
          <w:szCs w:val="28"/>
          <w:lang w:eastAsia="ru-RU"/>
        </w:rPr>
        <w:t xml:space="preserve">їх </w:t>
      </w:r>
      <w:r w:rsidRPr="002E505D">
        <w:rPr>
          <w:rFonts w:eastAsia="Times New Roman"/>
          <w:sz w:val="28"/>
          <w:szCs w:val="28"/>
          <w:lang w:eastAsia="ru-RU"/>
        </w:rPr>
        <w:t>розвитку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Pr="002E505D">
        <w:rPr>
          <w:rFonts w:eastAsia="Times New Roman"/>
          <w:sz w:val="28"/>
          <w:szCs w:val="28"/>
          <w:lang w:eastAsia="ru-RU"/>
        </w:rPr>
        <w:t xml:space="preserve"> </w:t>
      </w:r>
    </w:p>
    <w:p w:rsidR="00A34108" w:rsidRDefault="00A34108" w:rsidP="00A34108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D50D1C">
        <w:rPr>
          <w:rFonts w:eastAsia="Times New Roman"/>
          <w:sz w:val="28"/>
          <w:szCs w:val="28"/>
          <w:lang w:eastAsia="ru-RU"/>
        </w:rPr>
        <w:t>В свою чергу, специфік</w:t>
      </w:r>
      <w:r>
        <w:rPr>
          <w:rFonts w:eastAsia="Times New Roman"/>
          <w:sz w:val="28"/>
          <w:szCs w:val="28"/>
          <w:lang w:eastAsia="ru-RU"/>
        </w:rPr>
        <w:t>а</w:t>
      </w:r>
      <w:r w:rsidRPr="00D50D1C">
        <w:rPr>
          <w:rFonts w:eastAsia="Times New Roman"/>
          <w:sz w:val="28"/>
          <w:szCs w:val="28"/>
          <w:lang w:eastAsia="ru-RU"/>
        </w:rPr>
        <w:t xml:space="preserve"> державного регулювання економіки депресивних </w:t>
      </w:r>
      <w:r>
        <w:rPr>
          <w:rFonts w:eastAsia="Times New Roman"/>
          <w:sz w:val="28"/>
          <w:szCs w:val="28"/>
          <w:lang w:eastAsia="ru-RU"/>
        </w:rPr>
        <w:t xml:space="preserve">регіонів </w:t>
      </w:r>
      <w:r w:rsidRPr="00D50D1C">
        <w:rPr>
          <w:rFonts w:eastAsia="Times New Roman"/>
          <w:sz w:val="28"/>
          <w:szCs w:val="28"/>
          <w:lang w:eastAsia="ru-RU"/>
        </w:rPr>
        <w:t>визнача</w:t>
      </w:r>
      <w:r>
        <w:rPr>
          <w:rFonts w:eastAsia="Times New Roman"/>
          <w:sz w:val="28"/>
          <w:szCs w:val="28"/>
          <w:lang w:eastAsia="ru-RU"/>
        </w:rPr>
        <w:t xml:space="preserve">ється наступними </w:t>
      </w:r>
      <w:r w:rsidRPr="00D50D1C">
        <w:rPr>
          <w:rFonts w:eastAsia="Times New Roman"/>
          <w:sz w:val="28"/>
          <w:szCs w:val="28"/>
          <w:lang w:eastAsia="ru-RU"/>
        </w:rPr>
        <w:t>фактор</w:t>
      </w:r>
      <w:r>
        <w:rPr>
          <w:rFonts w:eastAsia="Times New Roman"/>
          <w:sz w:val="28"/>
          <w:szCs w:val="28"/>
          <w:lang w:eastAsia="ru-RU"/>
        </w:rPr>
        <w:t>ам</w:t>
      </w:r>
      <w:r w:rsidRPr="00D50D1C">
        <w:rPr>
          <w:rFonts w:eastAsia="Times New Roman"/>
          <w:sz w:val="28"/>
          <w:szCs w:val="28"/>
          <w:lang w:eastAsia="ru-RU"/>
        </w:rPr>
        <w:t>и: економічн</w:t>
      </w:r>
      <w:r>
        <w:rPr>
          <w:rFonts w:eastAsia="Times New Roman"/>
          <w:sz w:val="28"/>
          <w:szCs w:val="28"/>
          <w:lang w:eastAsia="ru-RU"/>
        </w:rPr>
        <w:t xml:space="preserve">ими </w:t>
      </w:r>
      <w:r w:rsidRPr="00D50D1C">
        <w:rPr>
          <w:rFonts w:eastAsia="Times New Roman"/>
          <w:sz w:val="28"/>
          <w:szCs w:val="28"/>
          <w:lang w:eastAsia="ru-RU"/>
        </w:rPr>
        <w:t xml:space="preserve">(рівень </w:t>
      </w:r>
      <w:r w:rsidRPr="00D50D1C">
        <w:rPr>
          <w:rFonts w:eastAsia="Times New Roman"/>
          <w:sz w:val="28"/>
          <w:szCs w:val="28"/>
          <w:lang w:eastAsia="ru-RU"/>
        </w:rPr>
        <w:lastRenderedPageBreak/>
        <w:t xml:space="preserve">індустріалізації, спеціалізація території, рівень безробіття, рівень податкоспроможності та </w:t>
      </w:r>
      <w:proofErr w:type="spellStart"/>
      <w:r w:rsidRPr="00D50D1C">
        <w:rPr>
          <w:rFonts w:eastAsia="Times New Roman"/>
          <w:sz w:val="28"/>
          <w:szCs w:val="28"/>
          <w:lang w:eastAsia="ru-RU"/>
        </w:rPr>
        <w:t>дотаційності</w:t>
      </w:r>
      <w:proofErr w:type="spellEnd"/>
      <w:r w:rsidRPr="00D50D1C">
        <w:rPr>
          <w:rFonts w:eastAsia="Times New Roman"/>
          <w:sz w:val="28"/>
          <w:szCs w:val="28"/>
          <w:lang w:eastAsia="ru-RU"/>
        </w:rPr>
        <w:t>), соціально-демографічн</w:t>
      </w:r>
      <w:r>
        <w:rPr>
          <w:rFonts w:eastAsia="Times New Roman"/>
          <w:sz w:val="28"/>
          <w:szCs w:val="28"/>
          <w:lang w:eastAsia="ru-RU"/>
        </w:rPr>
        <w:t>ими</w:t>
      </w:r>
      <w:r w:rsidRPr="00D50D1C">
        <w:rPr>
          <w:rFonts w:eastAsia="Times New Roman"/>
          <w:sz w:val="28"/>
          <w:szCs w:val="28"/>
          <w:lang w:eastAsia="ru-RU"/>
        </w:rPr>
        <w:t xml:space="preserve"> (міграція та темпи природного приросту населення, рівень освіченості та кваліфікації робочої сили), </w:t>
      </w:r>
      <w:r>
        <w:rPr>
          <w:rFonts w:eastAsia="Times New Roman"/>
          <w:sz w:val="28"/>
          <w:szCs w:val="28"/>
          <w:lang w:eastAsia="ru-RU"/>
        </w:rPr>
        <w:t>природно-географічними</w:t>
      </w:r>
      <w:r w:rsidRPr="00D50D1C">
        <w:rPr>
          <w:rFonts w:eastAsia="Times New Roman"/>
          <w:sz w:val="28"/>
          <w:szCs w:val="28"/>
          <w:lang w:eastAsia="ru-RU"/>
        </w:rPr>
        <w:t xml:space="preserve"> (розташування, наявність природних ресурсів, кліматичні умови),  </w:t>
      </w:r>
      <w:r>
        <w:rPr>
          <w:rFonts w:eastAsia="Times New Roman"/>
          <w:sz w:val="28"/>
          <w:szCs w:val="28"/>
          <w:lang w:eastAsia="ru-RU"/>
        </w:rPr>
        <w:t>екологічними</w:t>
      </w:r>
      <w:r w:rsidRPr="00D50D1C">
        <w:rPr>
          <w:rFonts w:eastAsia="Times New Roman"/>
          <w:sz w:val="28"/>
          <w:szCs w:val="28"/>
          <w:lang w:eastAsia="ru-RU"/>
        </w:rPr>
        <w:t xml:space="preserve">  (наявність на цих територіях екологічно небезпечних об’єктів, культура  поводження з відходами).</w:t>
      </w:r>
    </w:p>
    <w:p w:rsidR="003D0B20" w:rsidRPr="003B00B5" w:rsidRDefault="00C94BBE" w:rsidP="00A34108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І</w:t>
      </w:r>
      <w:r w:rsidR="00A57F80">
        <w:rPr>
          <w:rFonts w:eastAsia="Times New Roman"/>
          <w:sz w:val="28"/>
          <w:szCs w:val="28"/>
          <w:lang w:eastAsia="ru-RU"/>
        </w:rPr>
        <w:t>снуючий механізм державного регулювання економіки регіонів</w:t>
      </w:r>
      <w:r w:rsidR="00B244D3">
        <w:rPr>
          <w:rFonts w:eastAsia="Times New Roman"/>
          <w:sz w:val="28"/>
          <w:szCs w:val="28"/>
          <w:lang w:eastAsia="ru-RU"/>
        </w:rPr>
        <w:t>, особливо тих, які мають депресивні тенденції</w:t>
      </w:r>
      <w:r w:rsidR="00A57F80">
        <w:rPr>
          <w:rFonts w:eastAsia="Times New Roman"/>
          <w:sz w:val="28"/>
          <w:szCs w:val="28"/>
          <w:lang w:eastAsia="ru-RU"/>
        </w:rPr>
        <w:t xml:space="preserve">, як засвідчує практика, </w:t>
      </w:r>
      <w:r w:rsidR="00A34108">
        <w:rPr>
          <w:rFonts w:eastAsia="Times New Roman"/>
          <w:sz w:val="28"/>
          <w:szCs w:val="28"/>
          <w:lang w:eastAsia="ru-RU"/>
        </w:rPr>
        <w:t>не є адекватним до сучасних умов, а</w:t>
      </w:r>
      <w:r w:rsidR="003D0B20" w:rsidRPr="003B00B5">
        <w:rPr>
          <w:rFonts w:eastAsia="Times New Roman"/>
          <w:sz w:val="28"/>
          <w:szCs w:val="28"/>
          <w:lang w:eastAsia="ru-RU"/>
        </w:rPr>
        <w:t xml:space="preserve"> </w:t>
      </w:r>
      <w:r w:rsidR="00A34108">
        <w:rPr>
          <w:rFonts w:eastAsia="Times New Roman"/>
          <w:sz w:val="28"/>
          <w:szCs w:val="28"/>
          <w:lang w:eastAsia="ru-RU"/>
        </w:rPr>
        <w:t xml:space="preserve">серед </w:t>
      </w:r>
      <w:r w:rsidR="003D0B20">
        <w:rPr>
          <w:rFonts w:eastAsia="Times New Roman"/>
          <w:sz w:val="28"/>
          <w:szCs w:val="28"/>
          <w:lang w:eastAsia="ru-RU"/>
        </w:rPr>
        <w:t xml:space="preserve">причин низької </w:t>
      </w:r>
      <w:r w:rsidR="003D0B20" w:rsidRPr="003B00B5">
        <w:rPr>
          <w:rFonts w:eastAsia="Times New Roman"/>
          <w:sz w:val="28"/>
          <w:szCs w:val="28"/>
          <w:lang w:eastAsia="ru-RU"/>
        </w:rPr>
        <w:t>ефективн</w:t>
      </w:r>
      <w:r w:rsidR="003D0B20">
        <w:rPr>
          <w:rFonts w:eastAsia="Times New Roman"/>
          <w:sz w:val="28"/>
          <w:szCs w:val="28"/>
          <w:lang w:eastAsia="ru-RU"/>
        </w:rPr>
        <w:t>о</w:t>
      </w:r>
      <w:r w:rsidR="003D0B20" w:rsidRPr="003B00B5">
        <w:rPr>
          <w:rFonts w:eastAsia="Times New Roman"/>
          <w:sz w:val="28"/>
          <w:szCs w:val="28"/>
          <w:lang w:eastAsia="ru-RU"/>
        </w:rPr>
        <w:t>ст</w:t>
      </w:r>
      <w:r w:rsidR="003D0B20">
        <w:rPr>
          <w:rFonts w:eastAsia="Times New Roman"/>
          <w:sz w:val="28"/>
          <w:szCs w:val="28"/>
          <w:lang w:eastAsia="ru-RU"/>
        </w:rPr>
        <w:t>і</w:t>
      </w:r>
      <w:r w:rsidR="003D0B20" w:rsidRPr="003B00B5">
        <w:rPr>
          <w:rFonts w:eastAsia="Times New Roman"/>
          <w:sz w:val="28"/>
          <w:szCs w:val="28"/>
          <w:lang w:eastAsia="ru-RU"/>
        </w:rPr>
        <w:t xml:space="preserve"> державної регіональної економічної </w:t>
      </w:r>
      <w:r w:rsidR="00A34108">
        <w:rPr>
          <w:rFonts w:eastAsia="Times New Roman"/>
          <w:sz w:val="28"/>
          <w:szCs w:val="28"/>
          <w:lang w:eastAsia="ru-RU"/>
        </w:rPr>
        <w:t>політики можна визначити</w:t>
      </w:r>
      <w:r w:rsidR="00B244D3">
        <w:rPr>
          <w:rFonts w:eastAsia="Times New Roman"/>
          <w:sz w:val="28"/>
          <w:szCs w:val="28"/>
          <w:lang w:eastAsia="ru-RU"/>
        </w:rPr>
        <w:t xml:space="preserve"> наступні</w:t>
      </w:r>
      <w:r w:rsidR="003D0B20" w:rsidRPr="003B00B5">
        <w:rPr>
          <w:rFonts w:eastAsia="Times New Roman"/>
          <w:sz w:val="28"/>
          <w:szCs w:val="28"/>
          <w:lang w:eastAsia="ru-RU"/>
        </w:rPr>
        <w:t>:</w:t>
      </w:r>
    </w:p>
    <w:p w:rsidR="003D0B20" w:rsidRPr="003B00B5" w:rsidRDefault="003D0B20" w:rsidP="00A34108">
      <w:pPr>
        <w:numPr>
          <w:ilvl w:val="0"/>
          <w:numId w:val="1"/>
        </w:numPr>
        <w:tabs>
          <w:tab w:val="num" w:pos="900"/>
        </w:tabs>
        <w:spacing w:line="360" w:lineRule="auto"/>
        <w:ind w:left="0" w:firstLine="720"/>
        <w:rPr>
          <w:rFonts w:eastAsia="Times New Roman"/>
          <w:sz w:val="28"/>
          <w:szCs w:val="28"/>
          <w:lang w:eastAsia="ru-RU"/>
        </w:rPr>
      </w:pPr>
      <w:r w:rsidRPr="003B00B5">
        <w:rPr>
          <w:rFonts w:eastAsia="Times New Roman"/>
          <w:sz w:val="28"/>
          <w:szCs w:val="28"/>
          <w:lang w:eastAsia="ru-RU"/>
        </w:rPr>
        <w:t>відсутність чіткого розмежування прав і обов’язків між різними гілками влади;</w:t>
      </w:r>
    </w:p>
    <w:p w:rsidR="003D0B20" w:rsidRPr="003B00B5" w:rsidRDefault="003D0B20" w:rsidP="00A34108">
      <w:pPr>
        <w:numPr>
          <w:ilvl w:val="0"/>
          <w:numId w:val="1"/>
        </w:numPr>
        <w:tabs>
          <w:tab w:val="num" w:pos="900"/>
        </w:tabs>
        <w:spacing w:line="360" w:lineRule="auto"/>
        <w:ind w:left="0" w:firstLine="720"/>
        <w:rPr>
          <w:rFonts w:eastAsia="Times New Roman"/>
          <w:sz w:val="28"/>
          <w:szCs w:val="28"/>
          <w:lang w:eastAsia="ru-RU"/>
        </w:rPr>
      </w:pPr>
      <w:r w:rsidRPr="003B00B5">
        <w:rPr>
          <w:rFonts w:eastAsia="Times New Roman"/>
          <w:sz w:val="28"/>
          <w:szCs w:val="28"/>
          <w:lang w:eastAsia="ru-RU"/>
        </w:rPr>
        <w:t>низький рівень фінансової автономії територіальних громад;</w:t>
      </w:r>
    </w:p>
    <w:p w:rsidR="003D0B20" w:rsidRPr="003B00B5" w:rsidRDefault="003D0B20" w:rsidP="00A34108">
      <w:pPr>
        <w:numPr>
          <w:ilvl w:val="0"/>
          <w:numId w:val="1"/>
        </w:numPr>
        <w:tabs>
          <w:tab w:val="num" w:pos="900"/>
        </w:tabs>
        <w:spacing w:line="360" w:lineRule="auto"/>
        <w:ind w:left="0" w:firstLine="720"/>
        <w:rPr>
          <w:rFonts w:eastAsia="Times New Roman"/>
          <w:sz w:val="28"/>
          <w:szCs w:val="28"/>
          <w:lang w:eastAsia="ru-RU"/>
        </w:rPr>
      </w:pPr>
      <w:r w:rsidRPr="003B00B5">
        <w:rPr>
          <w:rFonts w:eastAsia="Times New Roman"/>
          <w:sz w:val="28"/>
          <w:szCs w:val="28"/>
          <w:lang w:eastAsia="ru-RU"/>
        </w:rPr>
        <w:t>низька ефективність інституту місцевих податків і зборів;</w:t>
      </w:r>
    </w:p>
    <w:p w:rsidR="003D0B20" w:rsidRPr="003B00B5" w:rsidRDefault="003D0B20" w:rsidP="00A34108">
      <w:pPr>
        <w:numPr>
          <w:ilvl w:val="0"/>
          <w:numId w:val="1"/>
        </w:numPr>
        <w:tabs>
          <w:tab w:val="num" w:pos="900"/>
        </w:tabs>
        <w:spacing w:line="360" w:lineRule="auto"/>
        <w:ind w:left="0" w:firstLine="720"/>
        <w:rPr>
          <w:rFonts w:eastAsia="Times New Roman"/>
          <w:sz w:val="28"/>
          <w:szCs w:val="28"/>
          <w:lang w:eastAsia="ru-RU"/>
        </w:rPr>
      </w:pPr>
      <w:r w:rsidRPr="003B00B5">
        <w:rPr>
          <w:rFonts w:eastAsia="Times New Roman"/>
          <w:sz w:val="28"/>
          <w:szCs w:val="28"/>
          <w:lang w:eastAsia="ru-RU"/>
        </w:rPr>
        <w:t>нерозвиненість фінансового ринку та місцевих цінних паперів, кредитування, інвестування місцевого значення;</w:t>
      </w:r>
    </w:p>
    <w:p w:rsidR="003D0B20" w:rsidRPr="003B00B5" w:rsidRDefault="003D0B20" w:rsidP="00A34108">
      <w:pPr>
        <w:numPr>
          <w:ilvl w:val="0"/>
          <w:numId w:val="1"/>
        </w:numPr>
        <w:tabs>
          <w:tab w:val="num" w:pos="900"/>
        </w:tabs>
        <w:spacing w:line="360" w:lineRule="auto"/>
        <w:ind w:left="0" w:firstLine="720"/>
        <w:rPr>
          <w:rFonts w:eastAsia="Times New Roman"/>
          <w:sz w:val="28"/>
          <w:szCs w:val="28"/>
          <w:lang w:eastAsia="ru-RU"/>
        </w:rPr>
      </w:pPr>
      <w:r w:rsidRPr="003B00B5">
        <w:rPr>
          <w:rFonts w:eastAsia="Times New Roman"/>
          <w:sz w:val="28"/>
          <w:szCs w:val="28"/>
          <w:lang w:eastAsia="ru-RU"/>
        </w:rPr>
        <w:t xml:space="preserve">низька мотивація реалізації внутрішніх резервів мобілізації фінансових ресурсів та «утриманські» настрої в умовах значної </w:t>
      </w:r>
      <w:proofErr w:type="spellStart"/>
      <w:r w:rsidRPr="003B00B5">
        <w:rPr>
          <w:rFonts w:eastAsia="Times New Roman"/>
          <w:sz w:val="28"/>
          <w:szCs w:val="28"/>
          <w:lang w:eastAsia="ru-RU"/>
        </w:rPr>
        <w:t>дотаційності</w:t>
      </w:r>
      <w:proofErr w:type="spellEnd"/>
      <w:r w:rsidRPr="003B00B5">
        <w:rPr>
          <w:rFonts w:eastAsia="Times New Roman"/>
          <w:sz w:val="28"/>
          <w:szCs w:val="28"/>
          <w:lang w:eastAsia="ru-RU"/>
        </w:rPr>
        <w:t xml:space="preserve"> місцевих бюджетів;</w:t>
      </w:r>
    </w:p>
    <w:p w:rsidR="003D0B20" w:rsidRPr="003B00B5" w:rsidRDefault="003D0B20" w:rsidP="00A34108">
      <w:pPr>
        <w:tabs>
          <w:tab w:val="num" w:pos="900"/>
        </w:tabs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  <w:r w:rsidRPr="003B00B5">
        <w:rPr>
          <w:rFonts w:eastAsia="Times New Roman"/>
          <w:sz w:val="28"/>
          <w:szCs w:val="28"/>
          <w:lang w:eastAsia="ru-RU"/>
        </w:rPr>
        <w:t>- низький рівень фінансово-економічної, інвестиційної та інноваційної активності суб’єктів підприємництва, особливо комунальної форми власності;</w:t>
      </w:r>
    </w:p>
    <w:p w:rsidR="003D0B20" w:rsidRPr="003B00B5" w:rsidRDefault="003D0B20" w:rsidP="00A34108">
      <w:pPr>
        <w:numPr>
          <w:ilvl w:val="0"/>
          <w:numId w:val="1"/>
        </w:numPr>
        <w:tabs>
          <w:tab w:val="num" w:pos="900"/>
          <w:tab w:val="left" w:pos="1440"/>
        </w:tabs>
        <w:spacing w:line="360" w:lineRule="auto"/>
        <w:ind w:left="0" w:firstLine="720"/>
        <w:rPr>
          <w:rFonts w:eastAsia="Times New Roman"/>
          <w:sz w:val="28"/>
          <w:szCs w:val="28"/>
          <w:lang w:eastAsia="ru-RU"/>
        </w:rPr>
      </w:pPr>
      <w:r w:rsidRPr="003B00B5">
        <w:rPr>
          <w:rFonts w:eastAsia="Times New Roman"/>
          <w:sz w:val="28"/>
          <w:szCs w:val="28"/>
          <w:lang w:eastAsia="ru-RU"/>
        </w:rPr>
        <w:t>закритість і непрозорість фінансових потоків;</w:t>
      </w:r>
    </w:p>
    <w:p w:rsidR="003D0B20" w:rsidRPr="003B00B5" w:rsidRDefault="003D0B20" w:rsidP="00A34108">
      <w:pPr>
        <w:numPr>
          <w:ilvl w:val="0"/>
          <w:numId w:val="1"/>
        </w:numPr>
        <w:tabs>
          <w:tab w:val="num" w:pos="900"/>
          <w:tab w:val="left" w:pos="1440"/>
        </w:tabs>
        <w:spacing w:line="360" w:lineRule="auto"/>
        <w:ind w:left="0" w:firstLine="720"/>
        <w:rPr>
          <w:rFonts w:eastAsia="Times New Roman"/>
          <w:sz w:val="28"/>
          <w:szCs w:val="28"/>
          <w:lang w:eastAsia="ru-RU"/>
        </w:rPr>
      </w:pPr>
      <w:r w:rsidRPr="003B00B5">
        <w:rPr>
          <w:rFonts w:eastAsia="Times New Roman"/>
          <w:sz w:val="28"/>
          <w:szCs w:val="28"/>
          <w:lang w:eastAsia="ru-RU"/>
        </w:rPr>
        <w:t>відсутність достатнього інформування населення та громадських організацій про прийняті рішення соціально-економічного характеру.</w:t>
      </w:r>
    </w:p>
    <w:p w:rsidR="00C94BBE" w:rsidRPr="00E17CAC" w:rsidRDefault="00C94BBE" w:rsidP="00C214CE">
      <w:pPr>
        <w:spacing w:line="360" w:lineRule="auto"/>
        <w:ind w:firstLine="62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 xml:space="preserve">Практика державного регулювання подолання депресивності </w:t>
      </w:r>
      <w:r>
        <w:rPr>
          <w:rFonts w:eastAsia="Times New Roman"/>
          <w:sz w:val="28"/>
          <w:szCs w:val="28"/>
          <w:lang w:eastAsia="ru-RU"/>
        </w:rPr>
        <w:t xml:space="preserve">окремих </w:t>
      </w:r>
      <w:r w:rsidRPr="00E17CAC">
        <w:rPr>
          <w:rFonts w:eastAsia="Times New Roman"/>
          <w:sz w:val="28"/>
          <w:szCs w:val="28"/>
          <w:lang w:eastAsia="ru-RU"/>
        </w:rPr>
        <w:t xml:space="preserve"> р</w:t>
      </w:r>
      <w:r>
        <w:rPr>
          <w:rFonts w:eastAsia="Times New Roman"/>
          <w:sz w:val="28"/>
          <w:szCs w:val="28"/>
          <w:lang w:eastAsia="ru-RU"/>
        </w:rPr>
        <w:t xml:space="preserve">егіонів </w:t>
      </w:r>
      <w:r w:rsidRPr="00E17CAC">
        <w:rPr>
          <w:rFonts w:eastAsia="Times New Roman"/>
          <w:sz w:val="28"/>
          <w:szCs w:val="28"/>
          <w:lang w:eastAsia="ru-RU"/>
        </w:rPr>
        <w:t>розвинених країн Європи свідчить про накопичення значного досвіду використання різних заходів, інструментів, важелів впливу, які забезпечили піднесення соціально-економічного розвитку проблемних територій. Узагальнення цього досвіду та оцінка можливостей його адаптації до вітчизняних умов представлені у табл. 1</w:t>
      </w:r>
      <w:r>
        <w:rPr>
          <w:rFonts w:eastAsia="Times New Roman"/>
          <w:sz w:val="28"/>
          <w:szCs w:val="28"/>
          <w:lang w:eastAsia="ru-RU"/>
        </w:rPr>
        <w:t>.</w:t>
      </w:r>
      <w:r w:rsidRPr="00E17CAC">
        <w:rPr>
          <w:rFonts w:eastAsia="Times New Roman"/>
          <w:sz w:val="28"/>
          <w:szCs w:val="28"/>
          <w:lang w:eastAsia="ru-RU"/>
        </w:rPr>
        <w:t xml:space="preserve">   </w:t>
      </w:r>
    </w:p>
    <w:p w:rsidR="00C94BBE" w:rsidRPr="00E17CAC" w:rsidRDefault="00C94BBE" w:rsidP="00C94BBE">
      <w:pPr>
        <w:spacing w:line="360" w:lineRule="auto"/>
        <w:ind w:firstLine="0"/>
        <w:jc w:val="right"/>
        <w:rPr>
          <w:rFonts w:eastAsia="Times New Roman"/>
          <w:sz w:val="28"/>
          <w:szCs w:val="28"/>
          <w:lang w:eastAsia="ru-RU"/>
        </w:rPr>
        <w:sectPr w:rsidR="00C94BBE" w:rsidRPr="00E17CAC" w:rsidSect="00C214CE">
          <w:headerReference w:type="even" r:id="rId8"/>
          <w:headerReference w:type="default" r:id="rId9"/>
          <w:pgSz w:w="11905" w:h="16837"/>
          <w:pgMar w:top="1134" w:right="567" w:bottom="1134" w:left="1418" w:header="720" w:footer="6" w:gutter="0"/>
          <w:cols w:space="708"/>
          <w:noEndnote/>
          <w:docGrid w:linePitch="360"/>
        </w:sectPr>
      </w:pPr>
    </w:p>
    <w:p w:rsidR="00C94BBE" w:rsidRPr="00E17CAC" w:rsidRDefault="00C94BBE" w:rsidP="00C94BBE">
      <w:pPr>
        <w:spacing w:line="360" w:lineRule="auto"/>
        <w:ind w:firstLine="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4F25D4" wp14:editId="7C6B0DE7">
                <wp:simplePos x="0" y="0"/>
                <wp:positionH relativeFrom="column">
                  <wp:posOffset>9029700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0" t="0" r="4445" b="381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BBE" w:rsidRPr="00C364C4" w:rsidRDefault="00C94BBE" w:rsidP="00C94BBE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left:0;text-align:left;margin-left:711pt;margin-top:-27pt;width:2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" stroked="f">
                <v:textbox style="layout-flow:vertical">
                  <w:txbxContent>
                    <w:p w:rsidR="00C94BBE" w:rsidRPr="00C364C4" w:rsidRDefault="00C94BBE" w:rsidP="00C94BBE"/>
                  </w:txbxContent>
                </v:textbox>
              </v:rect>
            </w:pict>
          </mc:Fallback>
        </mc:AlternateContent>
      </w:r>
      <w:r w:rsidRPr="00E17CAC">
        <w:rPr>
          <w:rFonts w:eastAsia="Times New Roman"/>
          <w:sz w:val="28"/>
          <w:szCs w:val="28"/>
          <w:lang w:eastAsia="ru-RU"/>
        </w:rPr>
        <w:t>Таблиця 1.</w:t>
      </w:r>
    </w:p>
    <w:p w:rsidR="00C94BBE" w:rsidRPr="00E17CAC" w:rsidRDefault="00C94BBE" w:rsidP="00C94BBE">
      <w:pPr>
        <w:spacing w:line="36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 xml:space="preserve">Досвід зарубіжних країн щодо подолання депресивності територій </w:t>
      </w:r>
      <w:r w:rsidR="00E45C9D" w:rsidRPr="00E45C9D">
        <w:rPr>
          <w:rFonts w:eastAsia="Times New Roman"/>
          <w:sz w:val="28"/>
          <w:szCs w:val="28"/>
          <w:lang w:eastAsia="ru-RU"/>
        </w:rPr>
        <w:t>[3; 5; 6; 7]</w:t>
      </w:r>
    </w:p>
    <w:tbl>
      <w:tblPr>
        <w:tblpPr w:leftFromText="180" w:rightFromText="180" w:vertAnchor="page" w:horzAnchor="margin" w:tblpY="2215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1582"/>
        <w:gridCol w:w="5138"/>
        <w:gridCol w:w="5880"/>
      </w:tblGrid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388" w:type="dxa"/>
            <w:vAlign w:val="center"/>
          </w:tcPr>
          <w:p w:rsidR="00C94BBE" w:rsidRPr="00E17CAC" w:rsidRDefault="00C94BBE" w:rsidP="009B786E">
            <w:pPr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Основні причини депресивності промислових р</w:t>
            </w:r>
            <w:r w:rsidR="009B786E">
              <w:rPr>
                <w:rFonts w:eastAsia="Times New Roman"/>
                <w:sz w:val="20"/>
                <w:szCs w:val="20"/>
                <w:lang w:eastAsia="ru-RU"/>
              </w:rPr>
              <w:t>егіон</w:t>
            </w: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1582" w:type="dxa"/>
            <w:vAlign w:val="center"/>
          </w:tcPr>
          <w:p w:rsidR="00C94BBE" w:rsidRPr="00E17CAC" w:rsidRDefault="00C94BBE" w:rsidP="009A324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Країна</w:t>
            </w:r>
          </w:p>
        </w:tc>
        <w:tc>
          <w:tcPr>
            <w:tcW w:w="5138" w:type="dxa"/>
            <w:vAlign w:val="center"/>
          </w:tcPr>
          <w:p w:rsidR="00C94BBE" w:rsidRPr="00E17CAC" w:rsidRDefault="00C94BBE" w:rsidP="009A324F">
            <w:pPr>
              <w:ind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Заходи, спрямовані на подолання депресивних тенденцій</w:t>
            </w:r>
          </w:p>
        </w:tc>
        <w:tc>
          <w:tcPr>
            <w:tcW w:w="5880" w:type="dxa"/>
            <w:vAlign w:val="center"/>
          </w:tcPr>
          <w:p w:rsidR="00C94BBE" w:rsidRPr="00E17CAC" w:rsidRDefault="00C94BBE" w:rsidP="009A324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Можливість адаптації до вітчизняних умов</w:t>
            </w:r>
          </w:p>
        </w:tc>
      </w:tr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388" w:type="dxa"/>
            <w:vMerge w:val="restart"/>
          </w:tcPr>
          <w:p w:rsidR="00C94BBE" w:rsidRPr="00E17CAC" w:rsidRDefault="00C94BBE" w:rsidP="00C94BBE">
            <w:pPr>
              <w:numPr>
                <w:ilvl w:val="0"/>
                <w:numId w:val="13"/>
              </w:numPr>
              <w:tabs>
                <w:tab w:val="clear" w:pos="372"/>
                <w:tab w:val="num" w:pos="120"/>
              </w:tabs>
              <w:ind w:left="120" w:right="-108" w:hanging="10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вузька спеціалізація промислових регіонів,</w:t>
            </w:r>
          </w:p>
          <w:p w:rsidR="00C94BBE" w:rsidRPr="00E17CAC" w:rsidRDefault="00C94BBE" w:rsidP="00C94BBE">
            <w:pPr>
              <w:numPr>
                <w:ilvl w:val="0"/>
                <w:numId w:val="13"/>
              </w:numPr>
              <w:tabs>
                <w:tab w:val="clear" w:pos="372"/>
                <w:tab w:val="num" w:pos="120"/>
              </w:tabs>
              <w:ind w:left="120" w:right="-108" w:hanging="10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застаріла структура виробництв;</w:t>
            </w:r>
          </w:p>
          <w:p w:rsidR="00C94BBE" w:rsidRPr="00E17CAC" w:rsidRDefault="00C94BBE" w:rsidP="00C94BBE">
            <w:pPr>
              <w:numPr>
                <w:ilvl w:val="0"/>
                <w:numId w:val="13"/>
              </w:numPr>
              <w:tabs>
                <w:tab w:val="clear" w:pos="372"/>
                <w:tab w:val="num" w:pos="120"/>
              </w:tabs>
              <w:ind w:left="120" w:right="-108" w:hanging="10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слабка динаміка розвитку нових виробництв;</w:t>
            </w:r>
          </w:p>
          <w:p w:rsidR="00C94BBE" w:rsidRPr="00E17CAC" w:rsidRDefault="00C94BBE" w:rsidP="00C94BBE">
            <w:pPr>
              <w:numPr>
                <w:ilvl w:val="0"/>
                <w:numId w:val="13"/>
              </w:numPr>
              <w:tabs>
                <w:tab w:val="clear" w:pos="372"/>
                <w:tab w:val="num" w:pos="120"/>
              </w:tabs>
              <w:ind w:left="120" w:right="-108" w:hanging="10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 xml:space="preserve">виснаження природних ресурсів, </w:t>
            </w:r>
          </w:p>
          <w:p w:rsidR="00C94BBE" w:rsidRPr="00E17CAC" w:rsidRDefault="00C94BBE" w:rsidP="00C94BBE">
            <w:pPr>
              <w:numPr>
                <w:ilvl w:val="0"/>
                <w:numId w:val="13"/>
              </w:numPr>
              <w:tabs>
                <w:tab w:val="clear" w:pos="372"/>
                <w:tab w:val="num" w:pos="120"/>
              </w:tabs>
              <w:ind w:left="120" w:right="-108" w:hanging="10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екологічна криза</w:t>
            </w:r>
          </w:p>
          <w:p w:rsidR="00C94BBE" w:rsidRPr="00E17CAC" w:rsidRDefault="00C94BBE" w:rsidP="00C94BBE">
            <w:pPr>
              <w:numPr>
                <w:ilvl w:val="0"/>
                <w:numId w:val="13"/>
              </w:numPr>
              <w:tabs>
                <w:tab w:val="clear" w:pos="372"/>
                <w:tab w:val="num" w:pos="120"/>
              </w:tabs>
              <w:ind w:left="120" w:right="-108" w:hanging="10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міграція робочої сили</w:t>
            </w:r>
          </w:p>
        </w:tc>
        <w:tc>
          <w:tcPr>
            <w:tcW w:w="1582" w:type="dxa"/>
            <w:vMerge w:val="restart"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Великобританія</w:t>
            </w:r>
          </w:p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38" w:type="dxa"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Надання доплати висококваліфікованим  працівникам, переведеним на роботу в проблемні регіони</w:t>
            </w:r>
          </w:p>
        </w:tc>
        <w:tc>
          <w:tcPr>
            <w:tcW w:w="5880" w:type="dxa"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Доцільно, лише для працівників тих сфер і виробництв, які є новими для регіону, оскільки практично для всіх регіонів в Україні характерний високий рівень безробіття</w:t>
            </w:r>
          </w:p>
        </w:tc>
      </w:tr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388" w:type="dxa"/>
            <w:vMerge/>
          </w:tcPr>
          <w:p w:rsidR="00C94BBE" w:rsidRPr="00E17CAC" w:rsidRDefault="00C94BBE" w:rsidP="009A324F">
            <w:pPr>
              <w:ind w:left="-10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38" w:type="dxa"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Надання податкових пільг приватним підприємцям</w:t>
            </w:r>
          </w:p>
        </w:tc>
        <w:tc>
          <w:tcPr>
            <w:tcW w:w="5880" w:type="dxa"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Доцільно для новостворених підприємств і тих, які працюють у наукоємних галузях економіки</w:t>
            </w:r>
          </w:p>
        </w:tc>
      </w:tr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388" w:type="dxa"/>
            <w:vMerge/>
          </w:tcPr>
          <w:p w:rsidR="00C94BBE" w:rsidRPr="00E17CAC" w:rsidRDefault="00C94BBE" w:rsidP="009A324F">
            <w:pPr>
              <w:ind w:left="-10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38" w:type="dxa"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Усклад</w:t>
            </w:r>
            <w:bookmarkStart w:id="0" w:name="_GoBack"/>
            <w:bookmarkEnd w:id="0"/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нення процедури ліцензування з метою контролю за розміщенням промислових підприємств</w:t>
            </w:r>
          </w:p>
        </w:tc>
        <w:tc>
          <w:tcPr>
            <w:tcW w:w="5880" w:type="dxa"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Недоцільно, оскільки дозвільна система в Україні є складною і бюрократизованою</w:t>
            </w:r>
          </w:p>
        </w:tc>
      </w:tr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388" w:type="dxa"/>
            <w:vMerge/>
          </w:tcPr>
          <w:p w:rsidR="00C94BBE" w:rsidRPr="00E17CAC" w:rsidRDefault="00C94BBE" w:rsidP="009A324F">
            <w:pPr>
              <w:ind w:left="-10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38" w:type="dxa"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Підготовка території до промислового освоєння</w:t>
            </w:r>
          </w:p>
        </w:tc>
        <w:tc>
          <w:tcPr>
            <w:tcW w:w="5880" w:type="dxa"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Доцільно з обов’язковим урахуванням екологічних вимог до нових проектів</w:t>
            </w:r>
          </w:p>
        </w:tc>
      </w:tr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388" w:type="dxa"/>
            <w:vMerge/>
          </w:tcPr>
          <w:p w:rsidR="00C94BBE" w:rsidRPr="00E17CAC" w:rsidRDefault="00C94BBE" w:rsidP="009A324F">
            <w:pPr>
              <w:ind w:left="-10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38" w:type="dxa"/>
            <w:vMerge w:val="restart"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Застосування методу прискореної амортизації</w:t>
            </w:r>
          </w:p>
        </w:tc>
        <w:tc>
          <w:tcPr>
            <w:tcW w:w="5880" w:type="dxa"/>
            <w:vMerge w:val="restart"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Доцільно</w:t>
            </w:r>
          </w:p>
        </w:tc>
      </w:tr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388" w:type="dxa"/>
            <w:vMerge/>
          </w:tcPr>
          <w:p w:rsidR="00C94BBE" w:rsidRPr="00E17CAC" w:rsidRDefault="00C94BBE" w:rsidP="009A324F">
            <w:pPr>
              <w:ind w:left="-10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 w:val="restart"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 xml:space="preserve">Франція </w:t>
            </w:r>
          </w:p>
        </w:tc>
        <w:tc>
          <w:tcPr>
            <w:tcW w:w="5138" w:type="dxa"/>
            <w:vMerge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388" w:type="dxa"/>
            <w:vMerge/>
          </w:tcPr>
          <w:p w:rsidR="00C94BBE" w:rsidRPr="00E17CAC" w:rsidRDefault="00C94BBE" w:rsidP="009A324F">
            <w:pPr>
              <w:ind w:left="-10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38" w:type="dxa"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Пільгове кредитування будівельної галузі, розвитку транспорту та комунікацій</w:t>
            </w:r>
          </w:p>
        </w:tc>
        <w:tc>
          <w:tcPr>
            <w:tcW w:w="5880" w:type="dxa"/>
            <w:vMerge w:val="restart"/>
            <w:vAlign w:val="center"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Доцільними є державні інвестиції у промислове будівництво, розвиток транспортної інфраструктури та комунікацій</w:t>
            </w:r>
          </w:p>
        </w:tc>
      </w:tr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88" w:type="dxa"/>
            <w:vMerge/>
          </w:tcPr>
          <w:p w:rsidR="00C94BBE" w:rsidRPr="00E17CAC" w:rsidRDefault="00C94BBE" w:rsidP="009A324F">
            <w:pPr>
              <w:ind w:left="-10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38" w:type="dxa"/>
          </w:tcPr>
          <w:p w:rsidR="00C94BBE" w:rsidRPr="00E17CAC" w:rsidRDefault="00C94BBE" w:rsidP="009A324F">
            <w:pPr>
              <w:spacing w:line="360" w:lineRule="auto"/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Державне інвестування у підприємства будівельної галузі</w:t>
            </w:r>
          </w:p>
        </w:tc>
        <w:tc>
          <w:tcPr>
            <w:tcW w:w="5880" w:type="dxa"/>
            <w:vMerge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88" w:type="dxa"/>
            <w:vMerge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38" w:type="dxa"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Дозволи на розміщення промислового будівництва з метою перенесення промислових підприємств з центру</w:t>
            </w:r>
          </w:p>
        </w:tc>
        <w:tc>
          <w:tcPr>
            <w:tcW w:w="5880" w:type="dxa"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Доцільно</w:t>
            </w:r>
          </w:p>
        </w:tc>
      </w:tr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88" w:type="dxa"/>
            <w:vMerge/>
          </w:tcPr>
          <w:p w:rsidR="00C94BBE" w:rsidRPr="00E17CAC" w:rsidRDefault="00C94BBE" w:rsidP="009A324F">
            <w:pPr>
              <w:ind w:left="-10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38" w:type="dxa"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Надання податкових пільг для підприємств малого бізнесу, харчової, легкої промисловості та переробки продукції АПК</w:t>
            </w:r>
          </w:p>
        </w:tc>
        <w:tc>
          <w:tcPr>
            <w:tcW w:w="5880" w:type="dxa"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 xml:space="preserve">Доцільно, можливим є також розміщення державних замовлень </w:t>
            </w:r>
          </w:p>
        </w:tc>
      </w:tr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388" w:type="dxa"/>
            <w:vMerge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38" w:type="dxa"/>
            <w:vMerge w:val="restart"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Розробка і реалізація державних програм з перекваліфікації працівників</w:t>
            </w:r>
          </w:p>
        </w:tc>
        <w:tc>
          <w:tcPr>
            <w:tcW w:w="5880" w:type="dxa"/>
            <w:vMerge w:val="restart"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Доцільно, але за умови підготовки фахівців, яких потребує сучасний ринок праці</w:t>
            </w:r>
          </w:p>
        </w:tc>
      </w:tr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88" w:type="dxa"/>
            <w:vMerge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 w:val="restart"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Німеччина</w:t>
            </w:r>
          </w:p>
        </w:tc>
        <w:tc>
          <w:tcPr>
            <w:tcW w:w="5138" w:type="dxa"/>
            <w:vMerge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vMerge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88" w:type="dxa"/>
            <w:vMerge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38" w:type="dxa"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 xml:space="preserve">Закриття неприбуткових та екологічно небезпечних  шахт </w:t>
            </w:r>
          </w:p>
        </w:tc>
        <w:tc>
          <w:tcPr>
            <w:tcW w:w="5880" w:type="dxa"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Доцільно, за умови забезпечення працівників новими робочими місцями</w:t>
            </w:r>
          </w:p>
        </w:tc>
      </w:tr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388" w:type="dxa"/>
            <w:vMerge/>
          </w:tcPr>
          <w:p w:rsidR="00C94BBE" w:rsidRPr="00E17CAC" w:rsidRDefault="00C94BBE" w:rsidP="009A324F">
            <w:pPr>
              <w:ind w:left="-10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38" w:type="dxa"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Створення умов для розвитку на цих територіях науково-дослідних установ</w:t>
            </w:r>
          </w:p>
        </w:tc>
        <w:tc>
          <w:tcPr>
            <w:tcW w:w="5880" w:type="dxa"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Доцільно, за умови підтримки державними та місцевими органами влади впровадження розроблених інноваційних продуктів та технологій</w:t>
            </w:r>
          </w:p>
        </w:tc>
      </w:tr>
      <w:tr w:rsidR="00C94BBE" w:rsidRPr="00E17CAC" w:rsidTr="009A324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88" w:type="dxa"/>
            <w:vMerge/>
          </w:tcPr>
          <w:p w:rsidR="00C94BBE" w:rsidRPr="00E17CAC" w:rsidRDefault="00C94BBE" w:rsidP="009A324F">
            <w:pPr>
              <w:ind w:left="-10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38" w:type="dxa"/>
          </w:tcPr>
          <w:p w:rsidR="00C94BBE" w:rsidRPr="00E17CAC" w:rsidRDefault="00C94BBE" w:rsidP="009A324F">
            <w:pPr>
              <w:ind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 xml:space="preserve">Створення музейних комплексів, ландшафтних парків на забруднених територія </w:t>
            </w:r>
          </w:p>
        </w:tc>
        <w:tc>
          <w:tcPr>
            <w:tcW w:w="5880" w:type="dxa"/>
          </w:tcPr>
          <w:p w:rsidR="00C94BBE" w:rsidRPr="00E17CAC" w:rsidRDefault="00C94BBE" w:rsidP="009A324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17CAC">
              <w:rPr>
                <w:rFonts w:eastAsia="Times New Roman"/>
                <w:sz w:val="20"/>
                <w:szCs w:val="20"/>
                <w:lang w:eastAsia="ru-RU"/>
              </w:rPr>
              <w:t>Залучення приватного капіталу до оздоровлення територій на основі їх економічного стимулювання, розвиток екстремального туризму.</w:t>
            </w:r>
          </w:p>
        </w:tc>
      </w:tr>
    </w:tbl>
    <w:p w:rsidR="00C94BBE" w:rsidRPr="00E17CAC" w:rsidRDefault="00C94BBE" w:rsidP="00C94BBE">
      <w:pPr>
        <w:ind w:firstLine="540"/>
        <w:jc w:val="left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noProof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102C0E" wp14:editId="6576FA2A">
                <wp:simplePos x="0" y="0"/>
                <wp:positionH relativeFrom="column">
                  <wp:posOffset>9144000</wp:posOffset>
                </wp:positionH>
                <wp:positionV relativeFrom="paragraph">
                  <wp:posOffset>5673090</wp:posOffset>
                </wp:positionV>
                <wp:extent cx="342900" cy="342900"/>
                <wp:effectExtent l="0" t="0" r="4445" b="381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BBE" w:rsidRPr="00C364C4" w:rsidRDefault="00C94BBE" w:rsidP="00C94BBE">
                            <w:r>
                              <w:t>4</w:t>
                            </w:r>
                            <w:r w:rsidRPr="00C364C4">
                              <w:t>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7" style="position:absolute;left:0;text-align:left;margin-left:10in;margin-top:446.7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" stroked="f">
                <v:textbox style="layout-flow:vertical">
                  <w:txbxContent>
                    <w:p w:rsidR="00C94BBE" w:rsidRPr="00C364C4" w:rsidRDefault="00C94BBE" w:rsidP="00C94BBE">
                      <w:r>
                        <w:t>4</w:t>
                      </w:r>
                      <w:r w:rsidRPr="00C364C4"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C94BBE" w:rsidRPr="00E17CAC" w:rsidRDefault="00C94BBE" w:rsidP="00C94BBE">
      <w:pPr>
        <w:ind w:firstLine="540"/>
        <w:jc w:val="left"/>
        <w:rPr>
          <w:rFonts w:eastAsia="Times New Roman"/>
          <w:i/>
          <w:szCs w:val="24"/>
          <w:lang w:eastAsia="ru-RU"/>
        </w:rPr>
        <w:sectPr w:rsidR="00C94BBE" w:rsidRPr="00E17CAC" w:rsidSect="00C214CE">
          <w:pgSz w:w="16837" w:h="11905" w:orient="landscape"/>
          <w:pgMar w:top="1134" w:right="680" w:bottom="1134" w:left="1418" w:header="719" w:footer="6" w:gutter="0"/>
          <w:cols w:space="708"/>
          <w:noEndnote/>
          <w:docGrid w:linePitch="360"/>
        </w:sectPr>
      </w:pPr>
    </w:p>
    <w:p w:rsidR="00986CB5" w:rsidRDefault="00986CB5" w:rsidP="00045B2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986CB5">
        <w:rPr>
          <w:rFonts w:eastAsia="Times New Roman"/>
          <w:sz w:val="28"/>
          <w:szCs w:val="28"/>
          <w:lang w:eastAsia="ru-RU"/>
        </w:rPr>
        <w:lastRenderedPageBreak/>
        <w:t>Більшість країн використовують інструменти та важелі податкової, інвестиційної, фінансово-кредитної, бюджетної, амортизаційної політик для подолання спадних тенденцій та створення умов для піднесення соціально-економічного розвитку цих територій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B244D3" w:rsidRDefault="00B244D3" w:rsidP="00045B2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B244D3">
        <w:rPr>
          <w:rFonts w:eastAsia="Times New Roman"/>
          <w:sz w:val="28"/>
          <w:szCs w:val="28"/>
          <w:lang w:eastAsia="ru-RU"/>
        </w:rPr>
        <w:t>Використання даних методів і важелів є цілком виправданим при формуванні регіональної політики вирівнювання соціально-економічного розвитку територій в Україні. Разом з тим, слід враховувати, що механізм державного регулювання у зарубіжних країнах базується на розвиненій системі ринкових інститутів та інститутів громадянського суспільства.</w:t>
      </w:r>
    </w:p>
    <w:p w:rsidR="00045B2F" w:rsidRDefault="00045B2F" w:rsidP="00045B2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045B2F">
        <w:rPr>
          <w:rFonts w:eastAsia="Times New Roman"/>
          <w:sz w:val="28"/>
          <w:szCs w:val="28"/>
          <w:lang w:eastAsia="ru-RU"/>
        </w:rPr>
        <w:t xml:space="preserve">Отже, враховуючи світовий досвід, механізм державного регулювання розвитку депресивних територій повинен гармонічно поєднуватися з механізмами саморегулювання, громадянського впливу при вирішенні проблем регіонального розвитку. Проте вирішальна роль у цьому процесі відводиться саме державному регулюванню. </w:t>
      </w:r>
    </w:p>
    <w:p w:rsidR="008E484F" w:rsidRPr="00E17CAC" w:rsidRDefault="008E484F" w:rsidP="008E484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Pr="00E17CAC">
        <w:rPr>
          <w:rFonts w:eastAsia="Times New Roman"/>
          <w:sz w:val="28"/>
          <w:szCs w:val="28"/>
          <w:lang w:eastAsia="ru-RU"/>
        </w:rPr>
        <w:t xml:space="preserve">ідвищення ефективності державного регулювання розвитку депресивних </w:t>
      </w:r>
      <w:r>
        <w:rPr>
          <w:rFonts w:eastAsia="Times New Roman"/>
          <w:sz w:val="28"/>
          <w:szCs w:val="28"/>
          <w:lang w:eastAsia="ru-RU"/>
        </w:rPr>
        <w:t>регіонів</w:t>
      </w:r>
      <w:r w:rsidRPr="00E17CA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можливе за дотримання таких</w:t>
      </w:r>
      <w:r w:rsidRPr="00E17CAC">
        <w:rPr>
          <w:rFonts w:eastAsia="Times New Roman"/>
          <w:sz w:val="28"/>
          <w:szCs w:val="28"/>
          <w:lang w:eastAsia="ru-RU"/>
        </w:rPr>
        <w:t xml:space="preserve"> принцип</w:t>
      </w:r>
      <w:r>
        <w:rPr>
          <w:rFonts w:eastAsia="Times New Roman"/>
          <w:sz w:val="28"/>
          <w:szCs w:val="28"/>
          <w:lang w:eastAsia="ru-RU"/>
        </w:rPr>
        <w:t>ів</w:t>
      </w:r>
      <w:r w:rsidRPr="00E17CAC">
        <w:rPr>
          <w:rFonts w:eastAsia="Times New Roman"/>
          <w:sz w:val="28"/>
          <w:szCs w:val="28"/>
          <w:lang w:eastAsia="ru-RU"/>
        </w:rPr>
        <w:t>:</w:t>
      </w:r>
    </w:p>
    <w:p w:rsidR="008E484F" w:rsidRPr="00E17CAC" w:rsidRDefault="008E484F" w:rsidP="008E484F">
      <w:pPr>
        <w:numPr>
          <w:ilvl w:val="0"/>
          <w:numId w:val="1"/>
        </w:numPr>
        <w:tabs>
          <w:tab w:val="clear" w:pos="1290"/>
          <w:tab w:val="num" w:pos="709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>комплексного підходу до розвитку всіх життєзабезпечуючих сфер територій;</w:t>
      </w:r>
    </w:p>
    <w:p w:rsidR="008E484F" w:rsidRPr="00E17CAC" w:rsidRDefault="008E484F" w:rsidP="008E484F">
      <w:pPr>
        <w:numPr>
          <w:ilvl w:val="0"/>
          <w:numId w:val="1"/>
        </w:numPr>
        <w:tabs>
          <w:tab w:val="clear" w:pos="1290"/>
          <w:tab w:val="num" w:pos="709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>диференційованого підходу до вибору інструментарію державного регулювання залежно від рівня розвитку територій та їх внутрішнього потенціалу;</w:t>
      </w:r>
    </w:p>
    <w:p w:rsidR="008E484F" w:rsidRPr="00E17CAC" w:rsidRDefault="008E484F" w:rsidP="008E484F">
      <w:pPr>
        <w:numPr>
          <w:ilvl w:val="0"/>
          <w:numId w:val="1"/>
        </w:numPr>
        <w:tabs>
          <w:tab w:val="clear" w:pos="1290"/>
          <w:tab w:val="num" w:pos="709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 xml:space="preserve">скоординованості дій центральних та місцевих органів виконавчої влади, органів місцевого самоврядування, уникнення подвійного їх підпорядкування і дублювання функцій і повноважень; </w:t>
      </w:r>
    </w:p>
    <w:p w:rsidR="008E484F" w:rsidRPr="00E17CAC" w:rsidRDefault="008E484F" w:rsidP="008E484F">
      <w:pPr>
        <w:numPr>
          <w:ilvl w:val="0"/>
          <w:numId w:val="1"/>
        </w:numPr>
        <w:tabs>
          <w:tab w:val="clear" w:pos="1290"/>
          <w:tab w:val="num" w:pos="709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>узгодженості стратегій, цілей і пріоритетів регіонального та загальнодержавного розвитку;</w:t>
      </w:r>
    </w:p>
    <w:p w:rsidR="008E484F" w:rsidRPr="00E17CAC" w:rsidRDefault="008E484F" w:rsidP="008E484F">
      <w:pPr>
        <w:numPr>
          <w:ilvl w:val="0"/>
          <w:numId w:val="1"/>
        </w:numPr>
        <w:tabs>
          <w:tab w:val="clear" w:pos="1290"/>
          <w:tab w:val="num" w:pos="709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>системності використання методів та інструментів державного регулювання регіонального розвитку;</w:t>
      </w:r>
    </w:p>
    <w:p w:rsidR="008E484F" w:rsidRPr="00E17CAC" w:rsidRDefault="008E484F" w:rsidP="008E484F">
      <w:pPr>
        <w:numPr>
          <w:ilvl w:val="0"/>
          <w:numId w:val="1"/>
        </w:numPr>
        <w:tabs>
          <w:tab w:val="clear" w:pos="1290"/>
          <w:tab w:val="num" w:pos="709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lastRenderedPageBreak/>
        <w:t>децентралізації - перерозподілу владних повноважень на користь органів місцевого самоврядування з одночасною передачею їм відповідних ресурсів;</w:t>
      </w:r>
    </w:p>
    <w:p w:rsidR="008E484F" w:rsidRPr="00E17CAC" w:rsidRDefault="008E484F" w:rsidP="008E484F">
      <w:pPr>
        <w:numPr>
          <w:ilvl w:val="0"/>
          <w:numId w:val="1"/>
        </w:numPr>
        <w:tabs>
          <w:tab w:val="clear" w:pos="1290"/>
          <w:tab w:val="num" w:pos="709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>доступності різних джерел фінансових ресурсів залучення коштів органами місцевого самоврядування;</w:t>
      </w:r>
    </w:p>
    <w:p w:rsidR="008E484F" w:rsidRPr="00E17CAC" w:rsidRDefault="008E484F" w:rsidP="008E484F">
      <w:pPr>
        <w:numPr>
          <w:ilvl w:val="0"/>
          <w:numId w:val="1"/>
        </w:numPr>
        <w:tabs>
          <w:tab w:val="clear" w:pos="1290"/>
          <w:tab w:val="num" w:pos="709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 xml:space="preserve">адресності державних програм та фінансової підтримки розвитку територій в залежності від причин та глибини депресивних  тенденцій; </w:t>
      </w:r>
    </w:p>
    <w:p w:rsidR="008E484F" w:rsidRPr="00E17CAC" w:rsidRDefault="008E484F" w:rsidP="008E484F">
      <w:pPr>
        <w:numPr>
          <w:ilvl w:val="0"/>
          <w:numId w:val="1"/>
        </w:numPr>
        <w:tabs>
          <w:tab w:val="clear" w:pos="1290"/>
          <w:tab w:val="num" w:pos="709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>партнерства державних і приватних структур – стимулювання взаємовигідної співпраці між центральними, місцевими органами виконавчої влади, органами місцевого самоврядування, суб'єктами господарювання та інститутами громадянського суспільства в процесі формування та реалізації державної регіональної політики;</w:t>
      </w:r>
    </w:p>
    <w:p w:rsidR="008E484F" w:rsidRDefault="008E484F" w:rsidP="008E484F">
      <w:pPr>
        <w:numPr>
          <w:ilvl w:val="0"/>
          <w:numId w:val="1"/>
        </w:numPr>
        <w:tabs>
          <w:tab w:val="clear" w:pos="1290"/>
          <w:tab w:val="num" w:pos="709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>публічності</w:t>
      </w:r>
      <w:r w:rsidRPr="00E17CAC">
        <w:rPr>
          <w:rFonts w:eastAsia="Times New Roman"/>
          <w:i/>
          <w:sz w:val="28"/>
          <w:szCs w:val="28"/>
          <w:lang w:eastAsia="ru-RU"/>
        </w:rPr>
        <w:t xml:space="preserve"> – </w:t>
      </w:r>
      <w:r w:rsidRPr="00E17CAC">
        <w:rPr>
          <w:rFonts w:eastAsia="Times New Roman"/>
          <w:sz w:val="28"/>
          <w:szCs w:val="28"/>
          <w:lang w:eastAsia="ru-RU"/>
        </w:rPr>
        <w:t xml:space="preserve">забезпечення доступу громадськості до інформації про прийняті управлінські рішення та відкритості розподілу фінансових потоків на рівні регіону. </w:t>
      </w:r>
    </w:p>
    <w:p w:rsidR="009B786E" w:rsidRPr="00E17CAC" w:rsidRDefault="008E484F" w:rsidP="00045B2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="009B786E" w:rsidRPr="00E17CAC">
        <w:rPr>
          <w:rFonts w:eastAsia="Times New Roman"/>
          <w:sz w:val="28"/>
          <w:szCs w:val="28"/>
          <w:lang w:eastAsia="ru-RU"/>
        </w:rPr>
        <w:t xml:space="preserve">ри розробці концептуального підходу до державного регулювання </w:t>
      </w:r>
      <w:r w:rsidR="00F65AEE">
        <w:rPr>
          <w:rFonts w:eastAsia="Times New Roman"/>
          <w:sz w:val="28"/>
          <w:szCs w:val="28"/>
          <w:lang w:eastAsia="ru-RU"/>
        </w:rPr>
        <w:t>економіки</w:t>
      </w:r>
      <w:r w:rsidR="009B786E" w:rsidRPr="00E17CAC">
        <w:rPr>
          <w:rFonts w:eastAsia="Times New Roman"/>
          <w:sz w:val="28"/>
          <w:szCs w:val="28"/>
          <w:lang w:eastAsia="ru-RU"/>
        </w:rPr>
        <w:t xml:space="preserve"> депресивних </w:t>
      </w:r>
      <w:r w:rsidR="00F65AEE">
        <w:rPr>
          <w:rFonts w:eastAsia="Times New Roman"/>
          <w:sz w:val="28"/>
          <w:szCs w:val="28"/>
          <w:lang w:eastAsia="ru-RU"/>
        </w:rPr>
        <w:t>регіонів</w:t>
      </w:r>
      <w:r w:rsidR="009B786E" w:rsidRPr="00E17CAC">
        <w:rPr>
          <w:rFonts w:eastAsia="Times New Roman"/>
          <w:sz w:val="28"/>
          <w:szCs w:val="28"/>
          <w:lang w:eastAsia="ru-RU"/>
        </w:rPr>
        <w:t xml:space="preserve"> перевагу слід надавати таким напрямкам:</w:t>
      </w:r>
    </w:p>
    <w:p w:rsidR="009B786E" w:rsidRPr="00E17CAC" w:rsidRDefault="009B786E" w:rsidP="009B786E">
      <w:pPr>
        <w:numPr>
          <w:ilvl w:val="0"/>
          <w:numId w:val="8"/>
        </w:numPr>
        <w:tabs>
          <w:tab w:val="clear" w:pos="1424"/>
          <w:tab w:val="num" w:pos="851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>пріоритетність у використанні непрямих форм державного регулювання і поступове скорочення прямих бюджетних дотацій регіонам;</w:t>
      </w:r>
    </w:p>
    <w:p w:rsidR="009B786E" w:rsidRPr="00E17CAC" w:rsidRDefault="009B786E" w:rsidP="009B786E">
      <w:pPr>
        <w:numPr>
          <w:ilvl w:val="0"/>
          <w:numId w:val="8"/>
        </w:numPr>
        <w:tabs>
          <w:tab w:val="clear" w:pos="1424"/>
          <w:tab w:val="num" w:pos="851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>формування загальноприйнятної як для суб’єктів господарювання, так і для населення ідеї розвитку депресивного регіону;</w:t>
      </w:r>
    </w:p>
    <w:p w:rsidR="009B786E" w:rsidRPr="00E17CAC" w:rsidRDefault="009B786E" w:rsidP="009B786E">
      <w:pPr>
        <w:numPr>
          <w:ilvl w:val="0"/>
          <w:numId w:val="8"/>
        </w:numPr>
        <w:tabs>
          <w:tab w:val="clear" w:pos="1424"/>
          <w:tab w:val="num" w:pos="851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>створення відповідного інституціонального середовища;</w:t>
      </w:r>
    </w:p>
    <w:p w:rsidR="009B786E" w:rsidRPr="00E17CAC" w:rsidRDefault="009B786E" w:rsidP="009B786E">
      <w:pPr>
        <w:numPr>
          <w:ilvl w:val="0"/>
          <w:numId w:val="8"/>
        </w:numPr>
        <w:tabs>
          <w:tab w:val="clear" w:pos="1424"/>
          <w:tab w:val="num" w:pos="851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>необхідність удосконалення та систематизації нормативно-правого забезпечення як базового інституту;</w:t>
      </w:r>
    </w:p>
    <w:p w:rsidR="009B786E" w:rsidRPr="00E17CAC" w:rsidRDefault="009B786E" w:rsidP="009B786E">
      <w:pPr>
        <w:numPr>
          <w:ilvl w:val="0"/>
          <w:numId w:val="8"/>
        </w:numPr>
        <w:tabs>
          <w:tab w:val="clear" w:pos="1424"/>
          <w:tab w:val="num" w:pos="851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>стимулювання розвитку депресивних регіонів за допомогою ринкових методів господарювання;</w:t>
      </w:r>
    </w:p>
    <w:p w:rsidR="009B786E" w:rsidRPr="00E17CAC" w:rsidRDefault="009B786E" w:rsidP="009B786E">
      <w:pPr>
        <w:numPr>
          <w:ilvl w:val="0"/>
          <w:numId w:val="8"/>
        </w:numPr>
        <w:tabs>
          <w:tab w:val="clear" w:pos="1424"/>
          <w:tab w:val="num" w:pos="851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>забезпечення розвитку об’єктів ринкової  інфраструктури;</w:t>
      </w:r>
    </w:p>
    <w:p w:rsidR="009B786E" w:rsidRDefault="009B786E" w:rsidP="009B786E">
      <w:pPr>
        <w:numPr>
          <w:ilvl w:val="0"/>
          <w:numId w:val="8"/>
        </w:numPr>
        <w:tabs>
          <w:tab w:val="clear" w:pos="1424"/>
          <w:tab w:val="num" w:pos="851"/>
        </w:tabs>
        <w:spacing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E17CAC">
        <w:rPr>
          <w:rFonts w:eastAsia="Times New Roman"/>
          <w:sz w:val="28"/>
          <w:szCs w:val="28"/>
          <w:lang w:eastAsia="ru-RU"/>
        </w:rPr>
        <w:t>використання програмно-цільового підходу при виділенні бюджетних асигнувань таким територіям.</w:t>
      </w:r>
    </w:p>
    <w:p w:rsidR="001E7EF2" w:rsidRDefault="008E484F" w:rsidP="008E484F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8E484F">
        <w:rPr>
          <w:rFonts w:eastAsia="Times New Roman"/>
          <w:b/>
          <w:i/>
          <w:sz w:val="28"/>
          <w:szCs w:val="28"/>
          <w:lang w:eastAsia="ru-RU"/>
        </w:rPr>
        <w:lastRenderedPageBreak/>
        <w:t>Висновки.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E484F">
        <w:rPr>
          <w:rFonts w:eastAsia="Times New Roman"/>
          <w:sz w:val="28"/>
          <w:szCs w:val="28"/>
          <w:lang w:eastAsia="ru-RU"/>
        </w:rPr>
        <w:t xml:space="preserve">Формування і реалізація державної регіональної </w:t>
      </w:r>
      <w:r w:rsidR="00006EBE">
        <w:rPr>
          <w:rFonts w:eastAsia="Times New Roman"/>
          <w:sz w:val="28"/>
          <w:szCs w:val="28"/>
          <w:lang w:eastAsia="ru-RU"/>
        </w:rPr>
        <w:t xml:space="preserve">економічної </w:t>
      </w:r>
      <w:r w:rsidRPr="008E484F">
        <w:rPr>
          <w:rFonts w:eastAsia="Times New Roman"/>
          <w:sz w:val="28"/>
          <w:szCs w:val="28"/>
          <w:lang w:eastAsia="ru-RU"/>
        </w:rPr>
        <w:t>політики з метою досягнення максимальної її ефективності повинні відбуватися з урахуванням диференціації рівня розвитку регіонів, природно-ресурсного потенціалу і конкурентних переваг кожного з них, а також загальних тенденцій у соціальному</w:t>
      </w:r>
      <w:r w:rsidR="001E7EF2">
        <w:rPr>
          <w:rFonts w:eastAsia="Times New Roman"/>
          <w:sz w:val="28"/>
          <w:szCs w:val="28"/>
          <w:lang w:eastAsia="ru-RU"/>
        </w:rPr>
        <w:t>-</w:t>
      </w:r>
      <w:r w:rsidRPr="008E484F">
        <w:rPr>
          <w:rFonts w:eastAsia="Times New Roman"/>
          <w:sz w:val="28"/>
          <w:szCs w:val="28"/>
          <w:lang w:eastAsia="ru-RU"/>
        </w:rPr>
        <w:t>економічному</w:t>
      </w:r>
      <w:r w:rsidR="001E7EF2">
        <w:rPr>
          <w:rFonts w:eastAsia="Times New Roman"/>
          <w:sz w:val="28"/>
          <w:szCs w:val="28"/>
          <w:lang w:eastAsia="ru-RU"/>
        </w:rPr>
        <w:t xml:space="preserve"> розвитку.</w:t>
      </w:r>
      <w:r w:rsidR="001E7EF2" w:rsidRPr="001E7EF2">
        <w:t xml:space="preserve"> </w:t>
      </w:r>
      <w:r w:rsidR="001E7EF2" w:rsidRPr="001E7EF2">
        <w:rPr>
          <w:rFonts w:eastAsia="Times New Roman"/>
          <w:sz w:val="28"/>
          <w:szCs w:val="28"/>
          <w:lang w:eastAsia="ru-RU"/>
        </w:rPr>
        <w:t>Це дозволить уникнути розпорошування коштів, що направляються на розвит</w:t>
      </w:r>
      <w:r w:rsidR="00B0642E">
        <w:rPr>
          <w:rFonts w:eastAsia="Times New Roman"/>
          <w:sz w:val="28"/>
          <w:szCs w:val="28"/>
          <w:lang w:eastAsia="ru-RU"/>
        </w:rPr>
        <w:t>о</w:t>
      </w:r>
      <w:r w:rsidR="001E7EF2" w:rsidRPr="001E7EF2">
        <w:rPr>
          <w:rFonts w:eastAsia="Times New Roman"/>
          <w:sz w:val="28"/>
          <w:szCs w:val="28"/>
          <w:lang w:eastAsia="ru-RU"/>
        </w:rPr>
        <w:t>к</w:t>
      </w:r>
      <w:r w:rsidR="00B0642E">
        <w:rPr>
          <w:rFonts w:eastAsia="Times New Roman"/>
          <w:sz w:val="28"/>
          <w:szCs w:val="28"/>
          <w:lang w:eastAsia="ru-RU"/>
        </w:rPr>
        <w:t xml:space="preserve"> регіону,</w:t>
      </w:r>
      <w:r w:rsidR="001E7EF2" w:rsidRPr="001E7EF2">
        <w:rPr>
          <w:rFonts w:eastAsia="Times New Roman"/>
          <w:sz w:val="28"/>
          <w:szCs w:val="28"/>
          <w:lang w:eastAsia="ru-RU"/>
        </w:rPr>
        <w:t xml:space="preserve"> і сконцентрувати їх на стратегічно важливих</w:t>
      </w:r>
      <w:r w:rsidR="00E45C9D">
        <w:rPr>
          <w:rFonts w:eastAsia="Times New Roman"/>
          <w:sz w:val="28"/>
          <w:szCs w:val="28"/>
          <w:lang w:eastAsia="ru-RU"/>
        </w:rPr>
        <w:t xml:space="preserve"> для території</w:t>
      </w:r>
      <w:r w:rsidR="001E7EF2" w:rsidRPr="001E7EF2">
        <w:rPr>
          <w:rFonts w:eastAsia="Times New Roman"/>
          <w:sz w:val="28"/>
          <w:szCs w:val="28"/>
          <w:lang w:eastAsia="ru-RU"/>
        </w:rPr>
        <w:t xml:space="preserve"> напрямках.</w:t>
      </w:r>
    </w:p>
    <w:p w:rsidR="001E7EF2" w:rsidRDefault="001E7EF2" w:rsidP="008E484F">
      <w:pPr>
        <w:ind w:firstLine="0"/>
        <w:jc w:val="center"/>
        <w:rPr>
          <w:b/>
          <w:i/>
        </w:rPr>
      </w:pPr>
    </w:p>
    <w:p w:rsidR="00E45C9D" w:rsidRDefault="00E45C9D" w:rsidP="008E484F">
      <w:pPr>
        <w:ind w:firstLine="0"/>
        <w:jc w:val="center"/>
        <w:rPr>
          <w:b/>
          <w:i/>
        </w:rPr>
      </w:pPr>
    </w:p>
    <w:p w:rsidR="00C214CE" w:rsidRPr="008E484F" w:rsidRDefault="00C214CE" w:rsidP="008E484F">
      <w:pPr>
        <w:ind w:firstLine="0"/>
        <w:jc w:val="center"/>
        <w:rPr>
          <w:b/>
          <w:i/>
        </w:rPr>
      </w:pPr>
      <w:r w:rsidRPr="008E484F">
        <w:rPr>
          <w:b/>
          <w:i/>
        </w:rPr>
        <w:t>Література</w:t>
      </w:r>
    </w:p>
    <w:p w:rsidR="008E484F" w:rsidRDefault="008E484F" w:rsidP="008E484F">
      <w:pPr>
        <w:ind w:firstLine="0"/>
        <w:jc w:val="center"/>
      </w:pPr>
    </w:p>
    <w:p w:rsidR="00E45C9D" w:rsidRDefault="00E45C9D" w:rsidP="00E45C9D">
      <w:pPr>
        <w:pStyle w:val="a9"/>
        <w:numPr>
          <w:ilvl w:val="0"/>
          <w:numId w:val="17"/>
        </w:numPr>
        <w:tabs>
          <w:tab w:val="left" w:pos="851"/>
        </w:tabs>
        <w:ind w:left="0" w:firstLine="567"/>
      </w:pPr>
      <w:r w:rsidRPr="00B0642E">
        <w:t>Богорад О. Д. Регіональна економіка: словник-довідник / О. Д. Богорад, О. М. Тевелєв, В. М. Падалка, М. В. Підмогильний. – К.: НДІСЕП, 2004. – 421 с.</w:t>
      </w:r>
    </w:p>
    <w:p w:rsidR="00E45C9D" w:rsidRDefault="00E45C9D" w:rsidP="00E45C9D">
      <w:pPr>
        <w:pStyle w:val="a9"/>
        <w:numPr>
          <w:ilvl w:val="0"/>
          <w:numId w:val="17"/>
        </w:numPr>
        <w:tabs>
          <w:tab w:val="left" w:pos="851"/>
        </w:tabs>
        <w:ind w:left="0" w:firstLine="567"/>
      </w:pPr>
      <w:r w:rsidRPr="00B0642E">
        <w:t>Єфименко Т. І. Інституційне регулювання економічного розвитку / Т. І. Єфименко // Економіка України. – 2011. – №1. С. 16–26</w:t>
      </w:r>
    </w:p>
    <w:p w:rsidR="00E45C9D" w:rsidRDefault="00E45C9D" w:rsidP="00E45C9D">
      <w:pPr>
        <w:pStyle w:val="a9"/>
        <w:numPr>
          <w:ilvl w:val="0"/>
          <w:numId w:val="17"/>
        </w:numPr>
        <w:tabs>
          <w:tab w:val="left" w:pos="851"/>
        </w:tabs>
        <w:ind w:left="0" w:firstLine="567"/>
      </w:pPr>
      <w:proofErr w:type="spellStart"/>
      <w:r w:rsidRPr="00B0642E">
        <w:t>Найденова</w:t>
      </w:r>
      <w:proofErr w:type="spellEnd"/>
      <w:r w:rsidRPr="00B0642E">
        <w:t xml:space="preserve"> Р. И. </w:t>
      </w:r>
      <w:proofErr w:type="spellStart"/>
      <w:r w:rsidRPr="00B0642E">
        <w:t>Государственное</w:t>
      </w:r>
      <w:proofErr w:type="spellEnd"/>
      <w:r w:rsidRPr="00B0642E">
        <w:t xml:space="preserve"> </w:t>
      </w:r>
      <w:proofErr w:type="spellStart"/>
      <w:r w:rsidRPr="00B0642E">
        <w:t>регулирование</w:t>
      </w:r>
      <w:proofErr w:type="spellEnd"/>
      <w:r w:rsidRPr="00B0642E">
        <w:t xml:space="preserve"> </w:t>
      </w:r>
      <w:proofErr w:type="spellStart"/>
      <w:r w:rsidRPr="00B0642E">
        <w:t>экономики</w:t>
      </w:r>
      <w:proofErr w:type="spellEnd"/>
      <w:r w:rsidRPr="00B0642E">
        <w:t xml:space="preserve"> в </w:t>
      </w:r>
      <w:proofErr w:type="spellStart"/>
      <w:r w:rsidRPr="00B0642E">
        <w:t>старопро-мышленных</w:t>
      </w:r>
      <w:proofErr w:type="spellEnd"/>
      <w:r w:rsidRPr="00B0642E">
        <w:t xml:space="preserve"> районах </w:t>
      </w:r>
      <w:proofErr w:type="spellStart"/>
      <w:r w:rsidRPr="00B0642E">
        <w:t>Германии</w:t>
      </w:r>
      <w:proofErr w:type="spellEnd"/>
      <w:r w:rsidRPr="00B0642E">
        <w:t xml:space="preserve"> [</w:t>
      </w:r>
      <w:proofErr w:type="spellStart"/>
      <w:r w:rsidRPr="00B0642E">
        <w:t>Электронный</w:t>
      </w:r>
      <w:proofErr w:type="spellEnd"/>
      <w:r w:rsidRPr="00B0642E">
        <w:t xml:space="preserve"> ресурс] // Журнал </w:t>
      </w:r>
      <w:proofErr w:type="spellStart"/>
      <w:r w:rsidRPr="00B0642E">
        <w:t>научных</w:t>
      </w:r>
      <w:proofErr w:type="spellEnd"/>
      <w:r w:rsidRPr="00B0642E">
        <w:t xml:space="preserve"> </w:t>
      </w:r>
      <w:proofErr w:type="spellStart"/>
      <w:r w:rsidRPr="00B0642E">
        <w:t>публикаций</w:t>
      </w:r>
      <w:proofErr w:type="spellEnd"/>
      <w:r w:rsidRPr="00B0642E">
        <w:t xml:space="preserve"> </w:t>
      </w:r>
      <w:proofErr w:type="spellStart"/>
      <w:r w:rsidRPr="00B0642E">
        <w:t>аспирантов</w:t>
      </w:r>
      <w:proofErr w:type="spellEnd"/>
      <w:r w:rsidRPr="00B0642E">
        <w:t xml:space="preserve"> и </w:t>
      </w:r>
      <w:proofErr w:type="spellStart"/>
      <w:r w:rsidRPr="00B0642E">
        <w:t>докторантов</w:t>
      </w:r>
      <w:proofErr w:type="spellEnd"/>
      <w:r w:rsidRPr="00B0642E">
        <w:t xml:space="preserve"> / Р. И </w:t>
      </w:r>
      <w:proofErr w:type="spellStart"/>
      <w:r w:rsidRPr="00B0642E">
        <w:t>Найденова</w:t>
      </w:r>
      <w:proofErr w:type="spellEnd"/>
      <w:r w:rsidRPr="00B0642E">
        <w:t xml:space="preserve">. – Режим </w:t>
      </w:r>
      <w:proofErr w:type="spellStart"/>
      <w:r w:rsidRPr="00B0642E">
        <w:t>доступа</w:t>
      </w:r>
      <w:proofErr w:type="spellEnd"/>
      <w:r w:rsidRPr="00B0642E">
        <w:t xml:space="preserve">: </w:t>
      </w:r>
      <w:hyperlink r:id="rId10" w:history="1">
        <w:r w:rsidRPr="00E574C2">
          <w:rPr>
            <w:rStyle w:val="aa"/>
          </w:rPr>
          <w:t>http://www.jurnal.org/articles/2007/ekon7.html</w:t>
        </w:r>
      </w:hyperlink>
      <w:r w:rsidRPr="00B0642E">
        <w:t>.</w:t>
      </w:r>
    </w:p>
    <w:p w:rsidR="00E45C9D" w:rsidRDefault="00E45C9D" w:rsidP="00E45C9D">
      <w:pPr>
        <w:pStyle w:val="a9"/>
        <w:numPr>
          <w:ilvl w:val="0"/>
          <w:numId w:val="17"/>
        </w:numPr>
        <w:tabs>
          <w:tab w:val="left" w:pos="851"/>
        </w:tabs>
        <w:ind w:left="0" w:firstLine="567"/>
      </w:pPr>
      <w:r w:rsidRPr="00B0642E">
        <w:t>Регіональна політика: правове регулювання. Світовий та український досвід / за</w:t>
      </w:r>
      <w:r>
        <w:t xml:space="preserve"> </w:t>
      </w:r>
      <w:proofErr w:type="spellStart"/>
      <w:r w:rsidRPr="00B0642E">
        <w:t>заг</w:t>
      </w:r>
      <w:proofErr w:type="spellEnd"/>
      <w:r w:rsidRPr="00B0642E">
        <w:t xml:space="preserve">. ред. А. Ткачука. – вид. 2-ге, доповнене - К.: </w:t>
      </w:r>
      <w:proofErr w:type="spellStart"/>
      <w:r w:rsidRPr="00B0642E">
        <w:t>Леста</w:t>
      </w:r>
      <w:proofErr w:type="spellEnd"/>
      <w:r w:rsidRPr="00B0642E">
        <w:t>, 2011. – 260 с.</w:t>
      </w:r>
    </w:p>
    <w:p w:rsidR="00E45C9D" w:rsidRDefault="00E45C9D" w:rsidP="00E45C9D">
      <w:pPr>
        <w:pStyle w:val="a9"/>
        <w:numPr>
          <w:ilvl w:val="0"/>
          <w:numId w:val="17"/>
        </w:numPr>
        <w:tabs>
          <w:tab w:val="left" w:pos="851"/>
        </w:tabs>
        <w:ind w:left="0" w:firstLine="567"/>
      </w:pPr>
      <w:r w:rsidRPr="00B0642E">
        <w:t>Слава С. Розвиток економічно проблемних територій: міжнародний досвід / С. Слава, Д. Амборський, І. Сегварі, М. Дацишин // Проект партнерства Канада – Україна «Регіональне врядування та розвиток». – К.: Вид–во «К.І.С.», 2007. – 144 с</w:t>
      </w:r>
      <w:r>
        <w:t>.</w:t>
      </w:r>
    </w:p>
    <w:p w:rsidR="00E45C9D" w:rsidRDefault="00E45C9D" w:rsidP="00E45C9D">
      <w:pPr>
        <w:pStyle w:val="a9"/>
        <w:numPr>
          <w:ilvl w:val="0"/>
          <w:numId w:val="17"/>
        </w:numPr>
        <w:tabs>
          <w:tab w:val="left" w:pos="851"/>
        </w:tabs>
        <w:ind w:left="0" w:firstLine="567"/>
      </w:pPr>
      <w:r w:rsidRPr="00B0642E">
        <w:t>Чуприна А. Аналіз досвіду подолання депресивності регіонів західноєвропейських країн та можливості його застосування в Україні / А. Чуприна // Галицький економічний вісник. – 2011. – №3(32). – с.17–24.</w:t>
      </w:r>
    </w:p>
    <w:p w:rsidR="00B0642E" w:rsidRDefault="00B0642E" w:rsidP="00E45C9D">
      <w:pPr>
        <w:pStyle w:val="a9"/>
        <w:numPr>
          <w:ilvl w:val="0"/>
          <w:numId w:val="17"/>
        </w:numPr>
        <w:tabs>
          <w:tab w:val="left" w:pos="851"/>
        </w:tabs>
        <w:ind w:left="0" w:firstLine="567"/>
      </w:pPr>
      <w:proofErr w:type="spellStart"/>
      <w:r w:rsidRPr="00B0642E">
        <w:t>Regional</w:t>
      </w:r>
      <w:proofErr w:type="spellEnd"/>
      <w:r w:rsidRPr="00B0642E">
        <w:t xml:space="preserve"> </w:t>
      </w:r>
      <w:proofErr w:type="spellStart"/>
      <w:r w:rsidRPr="00B0642E">
        <w:t>innovative</w:t>
      </w:r>
      <w:proofErr w:type="spellEnd"/>
      <w:r w:rsidRPr="00B0642E">
        <w:t xml:space="preserve"> </w:t>
      </w:r>
      <w:proofErr w:type="spellStart"/>
      <w:r w:rsidRPr="00B0642E">
        <w:t>strategies</w:t>
      </w:r>
      <w:proofErr w:type="spellEnd"/>
      <w:r w:rsidRPr="00B0642E">
        <w:t xml:space="preserve"> </w:t>
      </w:r>
      <w:proofErr w:type="spellStart"/>
      <w:r w:rsidRPr="00B0642E">
        <w:t>and</w:t>
      </w:r>
      <w:proofErr w:type="spellEnd"/>
      <w:r w:rsidRPr="00B0642E">
        <w:t xml:space="preserve"> </w:t>
      </w:r>
      <w:proofErr w:type="spellStart"/>
      <w:r w:rsidRPr="00B0642E">
        <w:t>actions</w:t>
      </w:r>
      <w:proofErr w:type="spellEnd"/>
      <w:r w:rsidRPr="00B0642E">
        <w:t xml:space="preserve">: </w:t>
      </w:r>
      <w:proofErr w:type="spellStart"/>
      <w:r w:rsidRPr="00B0642E">
        <w:t>Results</w:t>
      </w:r>
      <w:proofErr w:type="spellEnd"/>
      <w:r w:rsidRPr="00B0642E">
        <w:t xml:space="preserve"> </w:t>
      </w:r>
      <w:proofErr w:type="spellStart"/>
      <w:r w:rsidRPr="00B0642E">
        <w:t>from</w:t>
      </w:r>
      <w:proofErr w:type="spellEnd"/>
      <w:r w:rsidRPr="00B0642E">
        <w:t xml:space="preserve"> 15 </w:t>
      </w:r>
      <w:proofErr w:type="spellStart"/>
      <w:r w:rsidRPr="00B0642E">
        <w:t>Years</w:t>
      </w:r>
      <w:proofErr w:type="spellEnd"/>
      <w:r w:rsidRPr="00B0642E">
        <w:t xml:space="preserve"> </w:t>
      </w:r>
      <w:proofErr w:type="spellStart"/>
      <w:r w:rsidRPr="00B0642E">
        <w:t>of</w:t>
      </w:r>
      <w:proofErr w:type="spellEnd"/>
      <w:r w:rsidRPr="00B0642E">
        <w:t xml:space="preserve"> </w:t>
      </w:r>
      <w:proofErr w:type="spellStart"/>
      <w:r w:rsidRPr="00B0642E">
        <w:t>experimentation</w:t>
      </w:r>
      <w:proofErr w:type="spellEnd"/>
      <w:r w:rsidRPr="00B0642E">
        <w:t xml:space="preserve">. – </w:t>
      </w:r>
      <w:proofErr w:type="spellStart"/>
      <w:r w:rsidRPr="00B0642E">
        <w:t>European</w:t>
      </w:r>
      <w:proofErr w:type="spellEnd"/>
      <w:r w:rsidRPr="00B0642E">
        <w:t xml:space="preserve"> </w:t>
      </w:r>
      <w:proofErr w:type="spellStart"/>
      <w:r w:rsidRPr="00B0642E">
        <w:t>Commission</w:t>
      </w:r>
      <w:proofErr w:type="spellEnd"/>
      <w:r w:rsidRPr="00B0642E">
        <w:t xml:space="preserve"> [Електронний ресурс]. – Режим доступу:  </w:t>
      </w:r>
      <w:hyperlink r:id="rId11" w:history="1">
        <w:r w:rsidR="00E45C9D" w:rsidRPr="00E574C2">
          <w:rPr>
            <w:rStyle w:val="aa"/>
          </w:rPr>
          <w:t>http://europa.eu.int/comm/regional_policy/index_en.htm</w:t>
        </w:r>
      </w:hyperlink>
      <w:r w:rsidRPr="00B0642E">
        <w:t>.</w:t>
      </w:r>
    </w:p>
    <w:p w:rsidR="00E45C9D" w:rsidRDefault="00E45C9D"/>
    <w:p w:rsidR="00E45C9D" w:rsidRDefault="00E45C9D"/>
    <w:sectPr w:rsidR="00E45C9D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9E" w:rsidRDefault="0008699E" w:rsidP="00E17CAC">
      <w:r>
        <w:separator/>
      </w:r>
    </w:p>
  </w:endnote>
  <w:endnote w:type="continuationSeparator" w:id="0">
    <w:p w:rsidR="0008699E" w:rsidRDefault="0008699E" w:rsidP="00E1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9E" w:rsidRDefault="0008699E" w:rsidP="00E17CAC">
      <w:r>
        <w:separator/>
      </w:r>
    </w:p>
  </w:footnote>
  <w:footnote w:type="continuationSeparator" w:id="0">
    <w:p w:rsidR="0008699E" w:rsidRDefault="0008699E" w:rsidP="00E17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BE" w:rsidRDefault="00C94BBE" w:rsidP="00EB536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94BBE" w:rsidRDefault="00C94BBE" w:rsidP="00EB536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BE" w:rsidRDefault="00C94BBE" w:rsidP="00EB536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710" w:rsidRDefault="0008699E" w:rsidP="00EB536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87710" w:rsidRDefault="0008699E" w:rsidP="00EB5361">
    <w:pPr>
      <w:pStyle w:val="a4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710" w:rsidRDefault="0008699E" w:rsidP="00EB536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06EBE">
      <w:rPr>
        <w:rStyle w:val="a3"/>
        <w:noProof/>
      </w:rPr>
      <w:t>6</w:t>
    </w:r>
    <w:r>
      <w:rPr>
        <w:rStyle w:val="a3"/>
      </w:rPr>
      <w:fldChar w:fldCharType="end"/>
    </w:r>
  </w:p>
  <w:p w:rsidR="00C87710" w:rsidRDefault="0008699E" w:rsidP="00EB536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305"/>
    <w:multiLevelType w:val="hybridMultilevel"/>
    <w:tmpl w:val="4FC835FC"/>
    <w:lvl w:ilvl="0" w:tplc="9DC04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E7369"/>
    <w:multiLevelType w:val="hybridMultilevel"/>
    <w:tmpl w:val="9EC80190"/>
    <w:lvl w:ilvl="0" w:tplc="9DC04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E68C7"/>
    <w:multiLevelType w:val="hybridMultilevel"/>
    <w:tmpl w:val="C0B8C910"/>
    <w:lvl w:ilvl="0" w:tplc="9DC040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73577"/>
    <w:multiLevelType w:val="hybridMultilevel"/>
    <w:tmpl w:val="F6EEC68C"/>
    <w:lvl w:ilvl="0" w:tplc="2944A434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D0E61D0"/>
    <w:multiLevelType w:val="hybridMultilevel"/>
    <w:tmpl w:val="CAF6CC72"/>
    <w:lvl w:ilvl="0" w:tplc="D07E330C">
      <w:start w:val="1"/>
      <w:numFmt w:val="decimal"/>
      <w:lvlText w:val="%1)"/>
      <w:lvlJc w:val="left"/>
      <w:pPr>
        <w:tabs>
          <w:tab w:val="num" w:pos="1424"/>
        </w:tabs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>
    <w:nsid w:val="2035476E"/>
    <w:multiLevelType w:val="hybridMultilevel"/>
    <w:tmpl w:val="E05010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BC741E"/>
    <w:multiLevelType w:val="hybridMultilevel"/>
    <w:tmpl w:val="C19E7E5E"/>
    <w:lvl w:ilvl="0" w:tplc="7DC46CD6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2FA"/>
    <w:multiLevelType w:val="hybridMultilevel"/>
    <w:tmpl w:val="AABA156A"/>
    <w:lvl w:ilvl="0" w:tplc="61E86770">
      <w:start w:val="1"/>
      <w:numFmt w:val="bullet"/>
      <w:lvlText w:val="–"/>
      <w:lvlJc w:val="left"/>
      <w:pPr>
        <w:tabs>
          <w:tab w:val="num" w:pos="1767"/>
        </w:tabs>
        <w:ind w:left="176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36D5512D"/>
    <w:multiLevelType w:val="hybridMultilevel"/>
    <w:tmpl w:val="9ED8609A"/>
    <w:lvl w:ilvl="0" w:tplc="2EF851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27781"/>
    <w:multiLevelType w:val="hybridMultilevel"/>
    <w:tmpl w:val="9F0C1716"/>
    <w:lvl w:ilvl="0" w:tplc="DC36BD5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0">
    <w:nsid w:val="46335654"/>
    <w:multiLevelType w:val="hybridMultilevel"/>
    <w:tmpl w:val="2F345F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90383"/>
    <w:multiLevelType w:val="hybridMultilevel"/>
    <w:tmpl w:val="E0B65CB4"/>
    <w:lvl w:ilvl="0" w:tplc="948E769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DBC79E6"/>
    <w:multiLevelType w:val="hybridMultilevel"/>
    <w:tmpl w:val="37588DE0"/>
    <w:lvl w:ilvl="0" w:tplc="671ACA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19306D"/>
    <w:multiLevelType w:val="hybridMultilevel"/>
    <w:tmpl w:val="11C2A3E2"/>
    <w:lvl w:ilvl="0" w:tplc="9DC040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42404D"/>
    <w:multiLevelType w:val="hybridMultilevel"/>
    <w:tmpl w:val="A3628EBE"/>
    <w:lvl w:ilvl="0" w:tplc="948E769E"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158F078">
      <w:numFmt w:val="bullet"/>
      <w:lvlText w:val="-"/>
      <w:lvlJc w:val="left"/>
      <w:pPr>
        <w:tabs>
          <w:tab w:val="num" w:pos="2280"/>
        </w:tabs>
        <w:ind w:left="2280" w:hanging="10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F77741C"/>
    <w:multiLevelType w:val="hybridMultilevel"/>
    <w:tmpl w:val="933E4CE6"/>
    <w:lvl w:ilvl="0" w:tplc="9DC04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6B393C"/>
    <w:multiLevelType w:val="hybridMultilevel"/>
    <w:tmpl w:val="C55A8786"/>
    <w:lvl w:ilvl="0" w:tplc="9DC040B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2"/>
  </w:num>
  <w:num w:numId="8">
    <w:abstractNumId w:val="4"/>
  </w:num>
  <w:num w:numId="9">
    <w:abstractNumId w:val="16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3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AC"/>
    <w:rsid w:val="00006EBE"/>
    <w:rsid w:val="0003059C"/>
    <w:rsid w:val="00037161"/>
    <w:rsid w:val="00045B2F"/>
    <w:rsid w:val="0008699E"/>
    <w:rsid w:val="001E7EF2"/>
    <w:rsid w:val="002E505D"/>
    <w:rsid w:val="003B00B5"/>
    <w:rsid w:val="003D0B20"/>
    <w:rsid w:val="004347DE"/>
    <w:rsid w:val="00463CA3"/>
    <w:rsid w:val="004D5F80"/>
    <w:rsid w:val="00525672"/>
    <w:rsid w:val="00684D40"/>
    <w:rsid w:val="008E484F"/>
    <w:rsid w:val="00902DD8"/>
    <w:rsid w:val="00962612"/>
    <w:rsid w:val="00986CB5"/>
    <w:rsid w:val="009B786E"/>
    <w:rsid w:val="00A0752B"/>
    <w:rsid w:val="00A34108"/>
    <w:rsid w:val="00A57F80"/>
    <w:rsid w:val="00A97CE8"/>
    <w:rsid w:val="00AA2CD3"/>
    <w:rsid w:val="00AC5D05"/>
    <w:rsid w:val="00B0642E"/>
    <w:rsid w:val="00B244D3"/>
    <w:rsid w:val="00B35990"/>
    <w:rsid w:val="00B64B2A"/>
    <w:rsid w:val="00BF2CF7"/>
    <w:rsid w:val="00C214CE"/>
    <w:rsid w:val="00C237A0"/>
    <w:rsid w:val="00C94BBE"/>
    <w:rsid w:val="00D50D1C"/>
    <w:rsid w:val="00DC7660"/>
    <w:rsid w:val="00E17CAC"/>
    <w:rsid w:val="00E45C9D"/>
    <w:rsid w:val="00EB1E72"/>
    <w:rsid w:val="00F6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C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autoRedefine/>
    <w:qFormat/>
    <w:rsid w:val="00AA2CD3"/>
    <w:pPr>
      <w:keepLines w:val="0"/>
      <w:spacing w:before="240" w:after="60"/>
    </w:pPr>
    <w:rPr>
      <w:rFonts w:ascii="Times New Roman" w:hAnsi="Times New Roman"/>
      <w:b w:val="0"/>
      <w:iCs/>
      <w:color w:val="auto"/>
      <w:sz w:val="24"/>
      <w:szCs w:val="24"/>
    </w:rPr>
  </w:style>
  <w:style w:type="character" w:customStyle="1" w:styleId="10">
    <w:name w:val="Стиль1 Знак"/>
    <w:basedOn w:val="20"/>
    <w:link w:val="1"/>
    <w:rsid w:val="00AA2CD3"/>
    <w:rPr>
      <w:rFonts w:ascii="Times New Roman" w:eastAsiaTheme="majorEastAsia" w:hAnsi="Times New Roman" w:cstheme="majorBidi"/>
      <w:b w:val="0"/>
      <w:bCs/>
      <w:iCs/>
      <w:color w:val="4F81BD" w:themeColor="accent1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A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 Знак Знак3"/>
    <w:basedOn w:val="a"/>
    <w:rsid w:val="00E17CAC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page number"/>
    <w:basedOn w:val="a0"/>
    <w:rsid w:val="00E17CAC"/>
  </w:style>
  <w:style w:type="paragraph" w:styleId="a4">
    <w:name w:val="header"/>
    <w:basedOn w:val="a"/>
    <w:link w:val="a5"/>
    <w:rsid w:val="00E17CAC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E17CAC"/>
    <w:rPr>
      <w:rFonts w:eastAsia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17C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7CAC"/>
    <w:rPr>
      <w:lang w:val="uk-UA"/>
    </w:rPr>
  </w:style>
  <w:style w:type="paragraph" w:customStyle="1" w:styleId="a8">
    <w:name w:val="Знак Знак Знак Знак Знак Знак"/>
    <w:basedOn w:val="a"/>
    <w:rsid w:val="00E17CAC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3D0B2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06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C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autoRedefine/>
    <w:qFormat/>
    <w:rsid w:val="00AA2CD3"/>
    <w:pPr>
      <w:keepLines w:val="0"/>
      <w:spacing w:before="240" w:after="60"/>
    </w:pPr>
    <w:rPr>
      <w:rFonts w:ascii="Times New Roman" w:hAnsi="Times New Roman"/>
      <w:b w:val="0"/>
      <w:iCs/>
      <w:color w:val="auto"/>
      <w:sz w:val="24"/>
      <w:szCs w:val="24"/>
    </w:rPr>
  </w:style>
  <w:style w:type="character" w:customStyle="1" w:styleId="10">
    <w:name w:val="Стиль1 Знак"/>
    <w:basedOn w:val="20"/>
    <w:link w:val="1"/>
    <w:rsid w:val="00AA2CD3"/>
    <w:rPr>
      <w:rFonts w:ascii="Times New Roman" w:eastAsiaTheme="majorEastAsia" w:hAnsi="Times New Roman" w:cstheme="majorBidi"/>
      <w:b w:val="0"/>
      <w:bCs/>
      <w:iCs/>
      <w:color w:val="4F81BD" w:themeColor="accent1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A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 Знак Знак3"/>
    <w:basedOn w:val="a"/>
    <w:rsid w:val="00E17CAC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page number"/>
    <w:basedOn w:val="a0"/>
    <w:rsid w:val="00E17CAC"/>
  </w:style>
  <w:style w:type="paragraph" w:styleId="a4">
    <w:name w:val="header"/>
    <w:basedOn w:val="a"/>
    <w:link w:val="a5"/>
    <w:rsid w:val="00E17CAC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E17CAC"/>
    <w:rPr>
      <w:rFonts w:eastAsia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17C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7CAC"/>
    <w:rPr>
      <w:lang w:val="uk-UA"/>
    </w:rPr>
  </w:style>
  <w:style w:type="paragraph" w:customStyle="1" w:styleId="a8">
    <w:name w:val="Знак Знак Знак Знак Знак Знак"/>
    <w:basedOn w:val="a"/>
    <w:rsid w:val="00E17CAC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3D0B2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06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uropa.eu.int/comm/regional_policy/index_en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urnal.org/articles/2007/ekon7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9603</Words>
  <Characters>5474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Толик</cp:lastModifiedBy>
  <cp:revision>1</cp:revision>
  <dcterms:created xsi:type="dcterms:W3CDTF">2013-10-30T14:41:00Z</dcterms:created>
  <dcterms:modified xsi:type="dcterms:W3CDTF">2013-10-30T21:05:00Z</dcterms:modified>
</cp:coreProperties>
</file>