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2F" w:rsidRDefault="00765B2F" w:rsidP="00765B2F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65B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УДК </w:t>
      </w:r>
      <w:r w:rsidRPr="00765B2F">
        <w:rPr>
          <w:rFonts w:ascii="Times New Roman" w:hAnsi="Times New Roman"/>
          <w:b/>
          <w:sz w:val="28"/>
          <w:szCs w:val="28"/>
        </w:rPr>
        <w:t>338.061.6</w:t>
      </w:r>
    </w:p>
    <w:p w:rsidR="00765B2F" w:rsidRDefault="00765B2F" w:rsidP="00765B2F">
      <w:pPr>
        <w:pStyle w:val="Default"/>
        <w:spacing w:line="360" w:lineRule="auto"/>
      </w:pPr>
    </w:p>
    <w:p w:rsidR="00765B2F" w:rsidRDefault="00765B2F" w:rsidP="00765B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5B2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65B2F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765B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65B2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6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B2F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76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B2F">
        <w:rPr>
          <w:rFonts w:ascii="Times New Roman" w:hAnsi="Times New Roman" w:cs="Times New Roman"/>
          <w:sz w:val="28"/>
          <w:szCs w:val="28"/>
        </w:rPr>
        <w:t>господарством</w:t>
      </w:r>
      <w:proofErr w:type="spellEnd"/>
    </w:p>
    <w:p w:rsidR="00765B2F" w:rsidRDefault="00765B2F" w:rsidP="009B116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5B2F">
        <w:rPr>
          <w:rFonts w:ascii="Times New Roman" w:hAnsi="Times New Roman" w:cs="Times New Roman"/>
          <w:b/>
          <w:i/>
          <w:sz w:val="28"/>
          <w:szCs w:val="28"/>
          <w:lang w:val="uk-UA"/>
        </w:rPr>
        <w:t>Ніколаєнко Ю.В.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765B2F" w:rsidRPr="00765B2F" w:rsidRDefault="00765B2F" w:rsidP="009B116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65B2F">
        <w:rPr>
          <w:rFonts w:ascii="Times New Roman" w:hAnsi="Times New Roman" w:cs="Times New Roman"/>
          <w:i/>
          <w:sz w:val="28"/>
          <w:szCs w:val="28"/>
          <w:lang w:val="uk-UA"/>
        </w:rPr>
        <w:t>к.е.н</w:t>
      </w:r>
      <w:proofErr w:type="spellEnd"/>
      <w:r w:rsidRPr="00765B2F">
        <w:rPr>
          <w:rFonts w:ascii="Times New Roman" w:hAnsi="Times New Roman" w:cs="Times New Roman"/>
          <w:i/>
          <w:sz w:val="28"/>
          <w:szCs w:val="28"/>
          <w:lang w:val="uk-UA"/>
        </w:rPr>
        <w:t>., доцент,</w:t>
      </w:r>
    </w:p>
    <w:p w:rsidR="00765B2F" w:rsidRPr="00765B2F" w:rsidRDefault="00765B2F" w:rsidP="009B1168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65B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професор кафедри </w:t>
      </w:r>
      <w:r w:rsidRPr="00765B2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фінансів і банківської справи</w:t>
      </w:r>
      <w:r w:rsidRPr="00765B2F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765B2F" w:rsidRDefault="00765B2F" w:rsidP="009B116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65B2F">
        <w:rPr>
          <w:rFonts w:ascii="Times New Roman" w:hAnsi="Times New Roman"/>
          <w:i/>
          <w:sz w:val="28"/>
          <w:szCs w:val="28"/>
          <w:lang w:val="uk-UA"/>
        </w:rPr>
        <w:t>Чернігівський національний технологічний університет</w:t>
      </w:r>
    </w:p>
    <w:p w:rsidR="00765B2F" w:rsidRPr="00346EB3" w:rsidRDefault="00765B2F" w:rsidP="009B116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46EB3">
        <w:rPr>
          <w:rFonts w:ascii="Times New Roman" w:hAnsi="Times New Roman"/>
          <w:b/>
          <w:sz w:val="28"/>
          <w:szCs w:val="28"/>
          <w:lang w:val="uk-UA"/>
        </w:rPr>
        <w:t>Сакун</w:t>
      </w:r>
      <w:proofErr w:type="spellEnd"/>
      <w:r w:rsidRPr="00346EB3">
        <w:rPr>
          <w:rFonts w:ascii="Times New Roman" w:hAnsi="Times New Roman"/>
          <w:b/>
          <w:sz w:val="28"/>
          <w:szCs w:val="28"/>
          <w:lang w:val="uk-UA"/>
        </w:rPr>
        <w:t xml:space="preserve"> О.С.</w:t>
      </w:r>
    </w:p>
    <w:p w:rsidR="00765B2F" w:rsidRPr="009B1168" w:rsidRDefault="00765B2F" w:rsidP="009B116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B1168">
        <w:rPr>
          <w:rFonts w:ascii="Times New Roman" w:hAnsi="Times New Roman"/>
          <w:i/>
          <w:sz w:val="28"/>
          <w:szCs w:val="28"/>
          <w:lang w:val="uk-UA"/>
        </w:rPr>
        <w:t>к</w:t>
      </w:r>
      <w:r w:rsidR="009B1168" w:rsidRPr="009B1168">
        <w:rPr>
          <w:rFonts w:ascii="Times New Roman" w:hAnsi="Times New Roman"/>
          <w:i/>
          <w:sz w:val="28"/>
          <w:szCs w:val="28"/>
          <w:lang w:val="uk-UA"/>
        </w:rPr>
        <w:t>.</w:t>
      </w:r>
      <w:r w:rsidRPr="009B1168">
        <w:rPr>
          <w:rFonts w:ascii="Times New Roman" w:hAnsi="Times New Roman"/>
          <w:i/>
          <w:sz w:val="28"/>
          <w:szCs w:val="28"/>
          <w:lang w:val="uk-UA"/>
        </w:rPr>
        <w:t xml:space="preserve"> е</w:t>
      </w:r>
      <w:r w:rsidR="009B1168" w:rsidRPr="009B1168">
        <w:rPr>
          <w:rFonts w:ascii="Times New Roman" w:hAnsi="Times New Roman"/>
          <w:i/>
          <w:sz w:val="28"/>
          <w:szCs w:val="28"/>
          <w:lang w:val="uk-UA"/>
        </w:rPr>
        <w:t>.</w:t>
      </w:r>
      <w:r w:rsidRPr="009B1168">
        <w:rPr>
          <w:rFonts w:ascii="Times New Roman" w:hAnsi="Times New Roman"/>
          <w:i/>
          <w:sz w:val="28"/>
          <w:szCs w:val="28"/>
          <w:lang w:val="uk-UA"/>
        </w:rPr>
        <w:t xml:space="preserve"> н</w:t>
      </w:r>
      <w:r w:rsidR="009B1168" w:rsidRPr="009B1168">
        <w:rPr>
          <w:rFonts w:ascii="Times New Roman" w:hAnsi="Times New Roman"/>
          <w:i/>
          <w:sz w:val="28"/>
          <w:szCs w:val="28"/>
          <w:lang w:val="uk-UA"/>
        </w:rPr>
        <w:t>.</w:t>
      </w:r>
      <w:r w:rsidRPr="009B1168">
        <w:rPr>
          <w:rFonts w:ascii="Times New Roman" w:hAnsi="Times New Roman"/>
          <w:i/>
          <w:sz w:val="28"/>
          <w:szCs w:val="28"/>
          <w:lang w:val="uk-UA"/>
        </w:rPr>
        <w:t>, викладач  Коледжу економіки і технологій</w:t>
      </w:r>
      <w:r w:rsidR="009B1168" w:rsidRPr="009B1168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765B2F" w:rsidRPr="009B1168" w:rsidRDefault="009B1168" w:rsidP="009B116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B1168">
        <w:rPr>
          <w:rFonts w:ascii="Times New Roman" w:hAnsi="Times New Roman"/>
          <w:i/>
          <w:sz w:val="28"/>
          <w:szCs w:val="28"/>
          <w:lang w:val="uk-UA"/>
        </w:rPr>
        <w:t>Чернігівський національний технологічний університет</w:t>
      </w:r>
    </w:p>
    <w:p w:rsidR="00327CD1" w:rsidRDefault="00765B2F" w:rsidP="00765B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B2F">
        <w:rPr>
          <w:rFonts w:ascii="Times New Roman" w:hAnsi="Times New Roman" w:cs="Times New Roman"/>
          <w:b/>
          <w:sz w:val="28"/>
          <w:szCs w:val="28"/>
          <w:lang w:val="uk-UA"/>
        </w:rPr>
        <w:t>ПРОПОЗИЦІЇ ЩОДО УДОСКОНАЛЕННЯ МЕХАНІЗМУ ФІНАНСУВАННЯ ЛОКАЛЬНИХ ІННОВАЦІЙНИХ ЦЕНТРІВ В УКРАЇНІ</w:t>
      </w:r>
    </w:p>
    <w:p w:rsidR="009B1168" w:rsidRPr="002C535B" w:rsidRDefault="009B1168" w:rsidP="009B1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Анотація. </w:t>
      </w:r>
      <w:r w:rsidR="002C535B" w:rsidRPr="002C535B">
        <w:rPr>
          <w:rFonts w:ascii="Times New Roman" w:hAnsi="Times New Roman" w:cs="Times New Roman"/>
          <w:sz w:val="28"/>
          <w:szCs w:val="28"/>
          <w:lang w:val="uk-UA"/>
        </w:rPr>
        <w:t>Стаття присвячена пошуку альтернативних схем фінансування локальних інноваційних центрів. Запропоновано дві державні програми фінансування локальних інноваційних центрів. Ці програми включають інноваційні схеми фінансування, що раніше не було використано в Україні.</w:t>
      </w:r>
    </w:p>
    <w:p w:rsidR="009B1168" w:rsidRPr="002C535B" w:rsidRDefault="009B1168" w:rsidP="009B1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="002C5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535B" w:rsidRPr="002C535B">
        <w:rPr>
          <w:rFonts w:ascii="Times New Roman" w:hAnsi="Times New Roman" w:cs="Times New Roman"/>
          <w:sz w:val="28"/>
          <w:szCs w:val="28"/>
          <w:lang w:val="uk-UA"/>
        </w:rPr>
        <w:t xml:space="preserve">локальний інноваційний центр, </w:t>
      </w:r>
      <w:r w:rsidR="002C535B">
        <w:rPr>
          <w:rFonts w:ascii="Times New Roman" w:hAnsi="Times New Roman" w:cs="Times New Roman"/>
          <w:sz w:val="28"/>
          <w:szCs w:val="28"/>
          <w:lang w:val="uk-UA"/>
        </w:rPr>
        <w:t xml:space="preserve">спільне фінансування, банківське кредитування, венчурний фонд, </w:t>
      </w:r>
      <w:r w:rsidR="002C535B"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компанії spin-</w:t>
      </w:r>
      <w:proofErr w:type="spellStart"/>
      <w:r w:rsidR="002C535B"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off</w:t>
      </w:r>
      <w:proofErr w:type="spellEnd"/>
      <w:r w:rsidR="002C535B"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6FC3" w:rsidRPr="003F6FC3" w:rsidRDefault="009B1168" w:rsidP="003F6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Постановка проблеми. </w:t>
      </w:r>
      <w:r w:rsidR="003F6FC3" w:rsidRPr="003F6FC3">
        <w:rPr>
          <w:rFonts w:ascii="Times New Roman" w:hAnsi="Times New Roman" w:cs="Times New Roman"/>
          <w:sz w:val="28"/>
          <w:szCs w:val="28"/>
          <w:lang w:val="uk-UA"/>
        </w:rPr>
        <w:t>За умови обмеженості державних фінансових ресурсів особливої актуальності набуває проблема пошуку додаткових джерел фінансування з метою активізації розвитку інноваційної діяльності в Україні.</w:t>
      </w:r>
    </w:p>
    <w:p w:rsidR="003F6FC3" w:rsidRPr="003F6FC3" w:rsidRDefault="003F6FC3" w:rsidP="003F6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FC3">
        <w:rPr>
          <w:rFonts w:ascii="Times New Roman" w:hAnsi="Times New Roman" w:cs="Times New Roman"/>
          <w:sz w:val="28"/>
          <w:szCs w:val="28"/>
          <w:lang w:val="uk-UA"/>
        </w:rPr>
        <w:t xml:space="preserve">Механізмом поворотного фінансування і відповідними послугами може бути: позика, кредит, лізинг, сумісна (спільна) діяльність, фінансова інвестиція. Державні фінансові інститути, що забезпечують реалізацію державної політики підтримки інноваційної діяльності за пріоритетними напрямками науково-технічного розвитку, здійснюють фінансування </w:t>
      </w:r>
      <w:r w:rsidRPr="003F6FC3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інноваційних проектів на пільгових умовах повернення наданого фінансування.</w:t>
      </w:r>
    </w:p>
    <w:p w:rsidR="009B1168" w:rsidRPr="003F6FC3" w:rsidRDefault="009B1168" w:rsidP="003F6F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1168">
        <w:rPr>
          <w:b/>
          <w:bCs/>
          <w:sz w:val="28"/>
          <w:szCs w:val="28"/>
        </w:rPr>
        <w:t>Аналіз</w:t>
      </w:r>
      <w:proofErr w:type="spellEnd"/>
      <w:r w:rsidRPr="009B1168">
        <w:rPr>
          <w:b/>
          <w:bCs/>
          <w:sz w:val="28"/>
          <w:szCs w:val="28"/>
        </w:rPr>
        <w:t xml:space="preserve"> </w:t>
      </w:r>
      <w:proofErr w:type="spellStart"/>
      <w:r w:rsidRPr="009B1168">
        <w:rPr>
          <w:b/>
          <w:bCs/>
          <w:sz w:val="28"/>
          <w:szCs w:val="28"/>
        </w:rPr>
        <w:t>останніх</w:t>
      </w:r>
      <w:proofErr w:type="spellEnd"/>
      <w:r w:rsidRPr="009B116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B1168">
        <w:rPr>
          <w:b/>
          <w:bCs/>
          <w:sz w:val="28"/>
          <w:szCs w:val="28"/>
        </w:rPr>
        <w:t>досл</w:t>
      </w:r>
      <w:proofErr w:type="gramEnd"/>
      <w:r w:rsidRPr="009B1168">
        <w:rPr>
          <w:b/>
          <w:bCs/>
          <w:sz w:val="28"/>
          <w:szCs w:val="28"/>
        </w:rPr>
        <w:t>іджень</w:t>
      </w:r>
      <w:proofErr w:type="spellEnd"/>
      <w:r w:rsidRPr="009B1168">
        <w:rPr>
          <w:b/>
          <w:bCs/>
          <w:sz w:val="28"/>
          <w:szCs w:val="28"/>
        </w:rPr>
        <w:t xml:space="preserve"> </w:t>
      </w:r>
      <w:proofErr w:type="spellStart"/>
      <w:r w:rsidRPr="009B1168">
        <w:rPr>
          <w:b/>
          <w:bCs/>
          <w:sz w:val="28"/>
          <w:szCs w:val="28"/>
        </w:rPr>
        <w:t>і</w:t>
      </w:r>
      <w:proofErr w:type="spellEnd"/>
      <w:r w:rsidRPr="009B1168">
        <w:rPr>
          <w:b/>
          <w:bCs/>
          <w:sz w:val="28"/>
          <w:szCs w:val="28"/>
        </w:rPr>
        <w:t xml:space="preserve"> </w:t>
      </w:r>
      <w:proofErr w:type="spellStart"/>
      <w:r w:rsidRPr="009B1168">
        <w:rPr>
          <w:b/>
          <w:bCs/>
          <w:sz w:val="28"/>
          <w:szCs w:val="28"/>
        </w:rPr>
        <w:t>публікацій</w:t>
      </w:r>
      <w:proofErr w:type="spellEnd"/>
      <w:r w:rsidRPr="009B1168">
        <w:rPr>
          <w:b/>
          <w:bCs/>
          <w:sz w:val="28"/>
          <w:szCs w:val="28"/>
        </w:rPr>
        <w:t xml:space="preserve">. </w:t>
      </w:r>
      <w:proofErr w:type="spellStart"/>
      <w:r w:rsidR="003F6FC3" w:rsidRPr="003F6FC3">
        <w:rPr>
          <w:bCs/>
          <w:sz w:val="28"/>
          <w:szCs w:val="28"/>
        </w:rPr>
        <w:t>Проблеми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фінансування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інноваційної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діяльності</w:t>
      </w:r>
      <w:proofErr w:type="spellEnd"/>
      <w:r w:rsidR="003F6FC3" w:rsidRPr="003F6FC3">
        <w:rPr>
          <w:bCs/>
          <w:sz w:val="28"/>
          <w:szCs w:val="28"/>
        </w:rPr>
        <w:t xml:space="preserve"> та </w:t>
      </w:r>
      <w:proofErr w:type="spellStart"/>
      <w:proofErr w:type="gramStart"/>
      <w:r w:rsidR="003F6FC3" w:rsidRPr="003F6FC3">
        <w:rPr>
          <w:bCs/>
          <w:sz w:val="28"/>
          <w:szCs w:val="28"/>
        </w:rPr>
        <w:t>п</w:t>
      </w:r>
      <w:proofErr w:type="gramEnd"/>
      <w:r w:rsidR="003F6FC3" w:rsidRPr="003F6FC3">
        <w:rPr>
          <w:bCs/>
          <w:sz w:val="28"/>
          <w:szCs w:val="28"/>
        </w:rPr>
        <w:t>ідвищення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її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активності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протягом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останнього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десятиліття</w:t>
      </w:r>
      <w:proofErr w:type="spellEnd"/>
      <w:r w:rsidR="003F6FC3" w:rsidRPr="003F6FC3">
        <w:rPr>
          <w:bCs/>
          <w:sz w:val="28"/>
          <w:szCs w:val="28"/>
        </w:rPr>
        <w:t xml:space="preserve"> широко </w:t>
      </w:r>
      <w:proofErr w:type="spellStart"/>
      <w:r w:rsidR="003F6FC3" w:rsidRPr="003F6FC3">
        <w:rPr>
          <w:bCs/>
          <w:sz w:val="28"/>
          <w:szCs w:val="28"/>
        </w:rPr>
        <w:t>досліджується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сучасними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науковцями</w:t>
      </w:r>
      <w:proofErr w:type="spellEnd"/>
      <w:r w:rsidR="003F6FC3" w:rsidRPr="003F6FC3">
        <w:rPr>
          <w:bCs/>
          <w:sz w:val="28"/>
          <w:szCs w:val="28"/>
        </w:rPr>
        <w:t xml:space="preserve">. </w:t>
      </w:r>
      <w:proofErr w:type="spellStart"/>
      <w:r w:rsidR="003F6FC3" w:rsidRPr="003F6FC3">
        <w:rPr>
          <w:bCs/>
          <w:sz w:val="28"/>
          <w:szCs w:val="28"/>
        </w:rPr>
        <w:t>Це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питання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розкривається</w:t>
      </w:r>
      <w:proofErr w:type="spellEnd"/>
      <w:r w:rsidR="003F6FC3" w:rsidRPr="003F6FC3">
        <w:rPr>
          <w:bCs/>
          <w:sz w:val="28"/>
          <w:szCs w:val="28"/>
        </w:rPr>
        <w:t xml:space="preserve"> у </w:t>
      </w:r>
      <w:proofErr w:type="spellStart"/>
      <w:r w:rsidR="003F6FC3" w:rsidRPr="003F6FC3">
        <w:rPr>
          <w:bCs/>
          <w:sz w:val="28"/>
          <w:szCs w:val="28"/>
        </w:rPr>
        <w:t>працях</w:t>
      </w:r>
      <w:proofErr w:type="spellEnd"/>
      <w:r w:rsidR="003F6FC3" w:rsidRPr="003F6FC3">
        <w:rPr>
          <w:bCs/>
          <w:sz w:val="28"/>
          <w:szCs w:val="28"/>
        </w:rPr>
        <w:t xml:space="preserve"> таких </w:t>
      </w:r>
      <w:proofErr w:type="spellStart"/>
      <w:r w:rsidR="003F6FC3" w:rsidRPr="003F6FC3">
        <w:rPr>
          <w:bCs/>
          <w:sz w:val="28"/>
          <w:szCs w:val="28"/>
        </w:rPr>
        <w:t>науковців</w:t>
      </w:r>
      <w:proofErr w:type="spellEnd"/>
      <w:r w:rsidR="003F6FC3" w:rsidRPr="003F6FC3">
        <w:rPr>
          <w:bCs/>
          <w:sz w:val="28"/>
          <w:szCs w:val="28"/>
        </w:rPr>
        <w:t xml:space="preserve">: Алимова О.М., </w:t>
      </w:r>
      <w:proofErr w:type="spellStart"/>
      <w:r w:rsidR="003F6FC3" w:rsidRPr="003F6FC3">
        <w:rPr>
          <w:bCs/>
          <w:sz w:val="28"/>
          <w:szCs w:val="28"/>
        </w:rPr>
        <w:t>Амоші</w:t>
      </w:r>
      <w:proofErr w:type="spellEnd"/>
      <w:r w:rsidR="003F6FC3" w:rsidRPr="003F6FC3">
        <w:rPr>
          <w:bCs/>
          <w:sz w:val="28"/>
          <w:szCs w:val="28"/>
        </w:rPr>
        <w:t xml:space="preserve"> О.І.,         Возняк Г.В., </w:t>
      </w:r>
      <w:proofErr w:type="spellStart"/>
      <w:r w:rsidR="003F6FC3" w:rsidRPr="003F6FC3">
        <w:rPr>
          <w:bCs/>
          <w:sz w:val="28"/>
          <w:szCs w:val="28"/>
        </w:rPr>
        <w:t>Гальчинського</w:t>
      </w:r>
      <w:proofErr w:type="spellEnd"/>
      <w:r w:rsidR="003F6FC3" w:rsidRPr="003F6FC3">
        <w:rPr>
          <w:bCs/>
          <w:sz w:val="28"/>
          <w:szCs w:val="28"/>
        </w:rPr>
        <w:t xml:space="preserve"> А.Р., </w:t>
      </w:r>
      <w:proofErr w:type="spellStart"/>
      <w:r w:rsidR="003F6FC3" w:rsidRPr="003F6FC3">
        <w:rPr>
          <w:bCs/>
          <w:sz w:val="28"/>
          <w:szCs w:val="28"/>
        </w:rPr>
        <w:t>Гейця</w:t>
      </w:r>
      <w:proofErr w:type="spellEnd"/>
      <w:r w:rsidR="003F6FC3" w:rsidRPr="003F6FC3">
        <w:rPr>
          <w:bCs/>
          <w:sz w:val="28"/>
          <w:szCs w:val="28"/>
        </w:rPr>
        <w:t xml:space="preserve">  В.М., </w:t>
      </w:r>
      <w:proofErr w:type="spellStart"/>
      <w:r w:rsidR="003F6FC3" w:rsidRPr="003F6FC3">
        <w:rPr>
          <w:bCs/>
          <w:sz w:val="28"/>
          <w:szCs w:val="28"/>
        </w:rPr>
        <w:t>Зимовець</w:t>
      </w:r>
      <w:proofErr w:type="spellEnd"/>
      <w:r w:rsidR="003F6FC3" w:rsidRPr="003F6FC3">
        <w:rPr>
          <w:bCs/>
          <w:sz w:val="28"/>
          <w:szCs w:val="28"/>
        </w:rPr>
        <w:t xml:space="preserve"> В.В., </w:t>
      </w:r>
      <w:proofErr w:type="spellStart"/>
      <w:r w:rsidR="003F6FC3" w:rsidRPr="003F6FC3">
        <w:rPr>
          <w:bCs/>
          <w:sz w:val="28"/>
          <w:szCs w:val="28"/>
        </w:rPr>
        <w:t>І</w:t>
      </w:r>
      <w:proofErr w:type="gramStart"/>
      <w:r w:rsidR="003F6FC3" w:rsidRPr="003F6FC3">
        <w:rPr>
          <w:bCs/>
          <w:sz w:val="28"/>
          <w:szCs w:val="28"/>
        </w:rPr>
        <w:t>ль</w:t>
      </w:r>
      <w:proofErr w:type="gramEnd"/>
      <w:r w:rsidR="003F6FC3" w:rsidRPr="003F6FC3">
        <w:rPr>
          <w:bCs/>
          <w:sz w:val="28"/>
          <w:szCs w:val="28"/>
        </w:rPr>
        <w:t>їної</w:t>
      </w:r>
      <w:proofErr w:type="spellEnd"/>
      <w:r w:rsidR="003F6FC3" w:rsidRPr="003F6FC3">
        <w:rPr>
          <w:bCs/>
          <w:sz w:val="28"/>
          <w:szCs w:val="28"/>
        </w:rPr>
        <w:t xml:space="preserve"> К.І.,                 Кабанова А.І., </w:t>
      </w:r>
      <w:proofErr w:type="spellStart"/>
      <w:r w:rsidR="003F6FC3" w:rsidRPr="003F6FC3">
        <w:rPr>
          <w:bCs/>
          <w:sz w:val="28"/>
          <w:szCs w:val="28"/>
        </w:rPr>
        <w:t>Колодзєва</w:t>
      </w:r>
      <w:proofErr w:type="spellEnd"/>
      <w:r w:rsidR="003F6FC3" w:rsidRPr="003F6FC3">
        <w:rPr>
          <w:bCs/>
          <w:sz w:val="28"/>
          <w:szCs w:val="28"/>
        </w:rPr>
        <w:t xml:space="preserve"> О.М., Крупки М.І., </w:t>
      </w:r>
      <w:proofErr w:type="spellStart"/>
      <w:r w:rsidR="003F6FC3" w:rsidRPr="003F6FC3">
        <w:rPr>
          <w:bCs/>
          <w:sz w:val="28"/>
          <w:szCs w:val="28"/>
        </w:rPr>
        <w:t>Новікової</w:t>
      </w:r>
      <w:proofErr w:type="spellEnd"/>
      <w:r w:rsidR="003F6FC3" w:rsidRPr="003F6FC3">
        <w:rPr>
          <w:bCs/>
          <w:sz w:val="28"/>
          <w:szCs w:val="28"/>
        </w:rPr>
        <w:t xml:space="preserve"> Н.І., </w:t>
      </w:r>
      <w:proofErr w:type="spellStart"/>
      <w:r w:rsidR="003F6FC3" w:rsidRPr="003F6FC3">
        <w:rPr>
          <w:bCs/>
          <w:sz w:val="28"/>
          <w:szCs w:val="28"/>
        </w:rPr>
        <w:t>Федулової</w:t>
      </w:r>
      <w:proofErr w:type="spellEnd"/>
      <w:r w:rsidR="003F6FC3" w:rsidRPr="003F6FC3">
        <w:rPr>
          <w:bCs/>
          <w:sz w:val="28"/>
          <w:szCs w:val="28"/>
        </w:rPr>
        <w:t xml:space="preserve"> І.В. та </w:t>
      </w:r>
      <w:proofErr w:type="spellStart"/>
      <w:r w:rsidR="003F6FC3" w:rsidRPr="003F6FC3">
        <w:rPr>
          <w:bCs/>
          <w:sz w:val="28"/>
          <w:szCs w:val="28"/>
        </w:rPr>
        <w:t>інших</w:t>
      </w:r>
      <w:proofErr w:type="spellEnd"/>
      <w:r w:rsidR="003F6FC3" w:rsidRPr="003F6FC3">
        <w:rPr>
          <w:bCs/>
          <w:sz w:val="28"/>
          <w:szCs w:val="28"/>
        </w:rPr>
        <w:t xml:space="preserve">. </w:t>
      </w:r>
      <w:proofErr w:type="spellStart"/>
      <w:r w:rsidR="003F6FC3" w:rsidRPr="003F6FC3">
        <w:rPr>
          <w:bCs/>
          <w:sz w:val="28"/>
          <w:szCs w:val="28"/>
        </w:rPr>
        <w:t>Головним</w:t>
      </w:r>
      <w:proofErr w:type="spellEnd"/>
      <w:r w:rsidR="003F6FC3" w:rsidRPr="003F6FC3">
        <w:rPr>
          <w:bCs/>
          <w:sz w:val="28"/>
          <w:szCs w:val="28"/>
        </w:rPr>
        <w:t xml:space="preserve"> аспектом </w:t>
      </w:r>
      <w:proofErr w:type="spellStart"/>
      <w:r w:rsidR="003F6FC3" w:rsidRPr="003F6FC3">
        <w:rPr>
          <w:bCs/>
          <w:sz w:val="28"/>
          <w:szCs w:val="28"/>
        </w:rPr>
        <w:t>даних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proofErr w:type="gramStart"/>
      <w:r w:rsidR="003F6FC3" w:rsidRPr="003F6FC3">
        <w:rPr>
          <w:bCs/>
          <w:sz w:val="28"/>
          <w:szCs w:val="28"/>
        </w:rPr>
        <w:t>досл</w:t>
      </w:r>
      <w:proofErr w:type="gramEnd"/>
      <w:r w:rsidR="003F6FC3" w:rsidRPr="003F6FC3">
        <w:rPr>
          <w:bCs/>
          <w:sz w:val="28"/>
          <w:szCs w:val="28"/>
        </w:rPr>
        <w:t>іджень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є</w:t>
      </w:r>
      <w:proofErr w:type="spellEnd"/>
      <w:r w:rsidR="003F6FC3" w:rsidRPr="003F6FC3">
        <w:rPr>
          <w:bCs/>
          <w:sz w:val="28"/>
          <w:szCs w:val="28"/>
        </w:rPr>
        <w:t xml:space="preserve"> стан </w:t>
      </w:r>
      <w:proofErr w:type="spellStart"/>
      <w:r w:rsidR="003F6FC3" w:rsidRPr="003F6FC3">
        <w:rPr>
          <w:bCs/>
          <w:sz w:val="28"/>
          <w:szCs w:val="28"/>
        </w:rPr>
        <w:t>інноваційної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діяльності</w:t>
      </w:r>
      <w:proofErr w:type="spellEnd"/>
      <w:r w:rsidR="003F6FC3" w:rsidRPr="003F6FC3">
        <w:rPr>
          <w:bCs/>
          <w:sz w:val="28"/>
          <w:szCs w:val="28"/>
        </w:rPr>
        <w:t xml:space="preserve">, </w:t>
      </w:r>
      <w:proofErr w:type="spellStart"/>
      <w:r w:rsidR="003F6FC3" w:rsidRPr="003F6FC3">
        <w:rPr>
          <w:bCs/>
          <w:sz w:val="28"/>
          <w:szCs w:val="28"/>
        </w:rPr>
        <w:t>джерел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і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способів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її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фінансування</w:t>
      </w:r>
      <w:proofErr w:type="spellEnd"/>
      <w:r w:rsidR="003F6FC3" w:rsidRPr="003F6FC3">
        <w:rPr>
          <w:bCs/>
          <w:sz w:val="28"/>
          <w:szCs w:val="28"/>
        </w:rPr>
        <w:t xml:space="preserve"> за </w:t>
      </w:r>
      <w:proofErr w:type="spellStart"/>
      <w:r w:rsidR="003F6FC3" w:rsidRPr="003F6FC3">
        <w:rPr>
          <w:bCs/>
          <w:sz w:val="28"/>
          <w:szCs w:val="28"/>
        </w:rPr>
        <w:t>сучасних</w:t>
      </w:r>
      <w:proofErr w:type="spellEnd"/>
      <w:r w:rsidR="003F6FC3" w:rsidRPr="003F6FC3">
        <w:rPr>
          <w:bCs/>
          <w:sz w:val="28"/>
          <w:szCs w:val="28"/>
        </w:rPr>
        <w:t xml:space="preserve"> умов </w:t>
      </w:r>
      <w:proofErr w:type="spellStart"/>
      <w:r w:rsidR="003F6FC3" w:rsidRPr="003F6FC3">
        <w:rPr>
          <w:bCs/>
          <w:sz w:val="28"/>
          <w:szCs w:val="28"/>
        </w:rPr>
        <w:t>інтеграції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економіки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України</w:t>
      </w:r>
      <w:proofErr w:type="spellEnd"/>
      <w:r w:rsidR="003F6FC3" w:rsidRPr="003F6FC3">
        <w:rPr>
          <w:bCs/>
          <w:sz w:val="28"/>
          <w:szCs w:val="28"/>
        </w:rPr>
        <w:t xml:space="preserve"> у </w:t>
      </w:r>
      <w:proofErr w:type="spellStart"/>
      <w:r w:rsidR="003F6FC3" w:rsidRPr="003F6FC3">
        <w:rPr>
          <w:bCs/>
          <w:sz w:val="28"/>
          <w:szCs w:val="28"/>
        </w:rPr>
        <w:t>світове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господарство</w:t>
      </w:r>
      <w:proofErr w:type="spellEnd"/>
      <w:r w:rsidR="003F6FC3" w:rsidRPr="003F6FC3">
        <w:rPr>
          <w:bCs/>
          <w:sz w:val="28"/>
          <w:szCs w:val="28"/>
        </w:rPr>
        <w:t xml:space="preserve">. Не </w:t>
      </w:r>
      <w:proofErr w:type="spellStart"/>
      <w:r w:rsidR="003F6FC3" w:rsidRPr="003F6FC3">
        <w:rPr>
          <w:bCs/>
          <w:sz w:val="28"/>
          <w:szCs w:val="28"/>
        </w:rPr>
        <w:t>зважаючи</w:t>
      </w:r>
      <w:proofErr w:type="spellEnd"/>
      <w:r w:rsidR="003F6FC3" w:rsidRPr="003F6FC3">
        <w:rPr>
          <w:bCs/>
          <w:sz w:val="28"/>
          <w:szCs w:val="28"/>
        </w:rPr>
        <w:t xml:space="preserve"> на </w:t>
      </w:r>
      <w:proofErr w:type="spellStart"/>
      <w:r w:rsidR="003F6FC3" w:rsidRPr="003F6FC3">
        <w:rPr>
          <w:bCs/>
          <w:sz w:val="28"/>
          <w:szCs w:val="28"/>
        </w:rPr>
        <w:t>існуючі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напрацювання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науковців</w:t>
      </w:r>
      <w:proofErr w:type="spellEnd"/>
      <w:r w:rsidR="003F6FC3" w:rsidRPr="003F6FC3">
        <w:rPr>
          <w:bCs/>
          <w:sz w:val="28"/>
          <w:szCs w:val="28"/>
        </w:rPr>
        <w:t xml:space="preserve"> у </w:t>
      </w:r>
      <w:proofErr w:type="spellStart"/>
      <w:r w:rsidR="003F6FC3" w:rsidRPr="003F6FC3">
        <w:rPr>
          <w:bCs/>
          <w:sz w:val="28"/>
          <w:szCs w:val="28"/>
        </w:rPr>
        <w:t>сфері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теорії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і</w:t>
      </w:r>
      <w:proofErr w:type="spellEnd"/>
      <w:r w:rsidR="003F6FC3" w:rsidRPr="003F6FC3">
        <w:rPr>
          <w:bCs/>
          <w:sz w:val="28"/>
          <w:szCs w:val="28"/>
        </w:rPr>
        <w:t xml:space="preserve"> практики </w:t>
      </w:r>
      <w:proofErr w:type="spellStart"/>
      <w:r w:rsidR="003F6FC3" w:rsidRPr="003F6FC3">
        <w:rPr>
          <w:bCs/>
          <w:sz w:val="28"/>
          <w:szCs w:val="28"/>
        </w:rPr>
        <w:t>фінансування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інновацій</w:t>
      </w:r>
      <w:proofErr w:type="spellEnd"/>
      <w:r w:rsidR="003F6FC3" w:rsidRPr="003F6FC3">
        <w:rPr>
          <w:bCs/>
          <w:sz w:val="28"/>
          <w:szCs w:val="28"/>
        </w:rPr>
        <w:t xml:space="preserve">, </w:t>
      </w:r>
      <w:r w:rsidR="003F6FC3">
        <w:rPr>
          <w:bCs/>
          <w:sz w:val="28"/>
          <w:szCs w:val="28"/>
        </w:rPr>
        <w:t xml:space="preserve">проблема </w:t>
      </w:r>
      <w:proofErr w:type="spellStart"/>
      <w:r w:rsidR="003F6FC3">
        <w:rPr>
          <w:bCs/>
          <w:sz w:val="28"/>
          <w:szCs w:val="28"/>
        </w:rPr>
        <w:t>пошуку</w:t>
      </w:r>
      <w:proofErr w:type="spellEnd"/>
      <w:r w:rsidR="003F6FC3">
        <w:rPr>
          <w:bCs/>
          <w:sz w:val="28"/>
          <w:szCs w:val="28"/>
        </w:rPr>
        <w:t xml:space="preserve"> ал</w:t>
      </w:r>
      <w:r w:rsidR="003F6FC3">
        <w:rPr>
          <w:bCs/>
          <w:sz w:val="28"/>
          <w:szCs w:val="28"/>
          <w:lang w:val="uk-UA"/>
        </w:rPr>
        <w:t>ь</w:t>
      </w:r>
      <w:proofErr w:type="spellStart"/>
      <w:r w:rsidR="003F6FC3">
        <w:rPr>
          <w:bCs/>
          <w:sz w:val="28"/>
          <w:szCs w:val="28"/>
        </w:rPr>
        <w:t>тернативних</w:t>
      </w:r>
      <w:proofErr w:type="spellEnd"/>
      <w:r w:rsidR="003F6FC3">
        <w:rPr>
          <w:bCs/>
          <w:sz w:val="28"/>
          <w:szCs w:val="28"/>
        </w:rPr>
        <w:t xml:space="preserve"> </w:t>
      </w:r>
      <w:proofErr w:type="spellStart"/>
      <w:r w:rsidR="003F6FC3">
        <w:rPr>
          <w:bCs/>
          <w:sz w:val="28"/>
          <w:szCs w:val="28"/>
        </w:rPr>
        <w:t>механ</w:t>
      </w:r>
      <w:proofErr w:type="spellEnd"/>
      <w:r w:rsidR="003F6FC3">
        <w:rPr>
          <w:bCs/>
          <w:sz w:val="28"/>
          <w:szCs w:val="28"/>
          <w:lang w:val="uk-UA"/>
        </w:rPr>
        <w:t>і</w:t>
      </w:r>
      <w:proofErr w:type="spellStart"/>
      <w:r w:rsidR="003F6FC3">
        <w:rPr>
          <w:bCs/>
          <w:sz w:val="28"/>
          <w:szCs w:val="28"/>
        </w:rPr>
        <w:t>зм</w:t>
      </w:r>
      <w:proofErr w:type="spellEnd"/>
      <w:r w:rsidR="003F6FC3">
        <w:rPr>
          <w:bCs/>
          <w:sz w:val="28"/>
          <w:szCs w:val="28"/>
          <w:lang w:val="uk-UA"/>
        </w:rPr>
        <w:t>і</w:t>
      </w:r>
      <w:r w:rsidR="003F6FC3">
        <w:rPr>
          <w:bCs/>
          <w:sz w:val="28"/>
          <w:szCs w:val="28"/>
        </w:rPr>
        <w:t>в</w:t>
      </w:r>
      <w:r w:rsidR="003F6FC3" w:rsidRPr="003F6FC3">
        <w:rPr>
          <w:bCs/>
          <w:sz w:val="28"/>
          <w:szCs w:val="28"/>
        </w:rPr>
        <w:t xml:space="preserve"> </w:t>
      </w:r>
      <w:r w:rsidR="003F6FC3">
        <w:rPr>
          <w:bCs/>
          <w:sz w:val="28"/>
          <w:szCs w:val="28"/>
          <w:lang w:val="uk-UA"/>
        </w:rPr>
        <w:t xml:space="preserve">фінансування локальних інноваційних центрів </w:t>
      </w:r>
      <w:proofErr w:type="gramStart"/>
      <w:r w:rsidR="003F6FC3">
        <w:rPr>
          <w:bCs/>
          <w:sz w:val="28"/>
          <w:szCs w:val="28"/>
          <w:lang w:val="uk-UA"/>
        </w:rPr>
        <w:t>в</w:t>
      </w:r>
      <w:proofErr w:type="gramEnd"/>
      <w:r w:rsidR="003F6FC3">
        <w:rPr>
          <w:bCs/>
          <w:sz w:val="28"/>
          <w:szCs w:val="28"/>
        </w:rPr>
        <w:t xml:space="preserve"> </w:t>
      </w:r>
      <w:proofErr w:type="spellStart"/>
      <w:r w:rsidR="003F6FC3">
        <w:rPr>
          <w:bCs/>
          <w:sz w:val="28"/>
          <w:szCs w:val="28"/>
        </w:rPr>
        <w:t>Україні</w:t>
      </w:r>
      <w:proofErr w:type="spellEnd"/>
      <w:r w:rsidR="003F6FC3">
        <w:rPr>
          <w:bCs/>
          <w:sz w:val="28"/>
          <w:szCs w:val="28"/>
        </w:rPr>
        <w:t xml:space="preserve"> </w:t>
      </w:r>
      <w:proofErr w:type="spellStart"/>
      <w:r w:rsidR="003F6FC3">
        <w:rPr>
          <w:bCs/>
          <w:sz w:val="28"/>
          <w:szCs w:val="28"/>
        </w:rPr>
        <w:t>залиша</w:t>
      </w:r>
      <w:proofErr w:type="spellEnd"/>
      <w:r w:rsidR="003F6FC3">
        <w:rPr>
          <w:bCs/>
          <w:sz w:val="28"/>
          <w:szCs w:val="28"/>
          <w:lang w:val="uk-UA"/>
        </w:rPr>
        <w:t>є</w:t>
      </w:r>
      <w:proofErr w:type="spellStart"/>
      <w:r w:rsidR="003F6FC3" w:rsidRPr="003F6FC3">
        <w:rPr>
          <w:bCs/>
          <w:sz w:val="28"/>
          <w:szCs w:val="28"/>
        </w:rPr>
        <w:t>ться</w:t>
      </w:r>
      <w:proofErr w:type="spellEnd"/>
      <w:r w:rsidR="003F6FC3" w:rsidRPr="003F6FC3">
        <w:rPr>
          <w:bCs/>
          <w:sz w:val="28"/>
          <w:szCs w:val="28"/>
        </w:rPr>
        <w:t xml:space="preserve"> </w:t>
      </w:r>
      <w:proofErr w:type="spellStart"/>
      <w:r w:rsidR="003F6FC3" w:rsidRPr="003F6FC3">
        <w:rPr>
          <w:bCs/>
          <w:sz w:val="28"/>
          <w:szCs w:val="28"/>
        </w:rPr>
        <w:t>недостатньо</w:t>
      </w:r>
      <w:proofErr w:type="spellEnd"/>
      <w:r w:rsidR="003F6FC3">
        <w:rPr>
          <w:bCs/>
          <w:sz w:val="28"/>
          <w:szCs w:val="28"/>
        </w:rPr>
        <w:t xml:space="preserve"> </w:t>
      </w:r>
      <w:proofErr w:type="spellStart"/>
      <w:r w:rsidR="003F6FC3">
        <w:rPr>
          <w:bCs/>
          <w:sz w:val="28"/>
          <w:szCs w:val="28"/>
        </w:rPr>
        <w:t>розкрит</w:t>
      </w:r>
      <w:r w:rsidR="003F6FC3">
        <w:rPr>
          <w:bCs/>
          <w:sz w:val="28"/>
          <w:szCs w:val="28"/>
          <w:lang w:val="uk-UA"/>
        </w:rPr>
        <w:t>ою</w:t>
      </w:r>
      <w:proofErr w:type="spellEnd"/>
      <w:r w:rsidR="003F6FC3" w:rsidRPr="003F6FC3">
        <w:rPr>
          <w:bCs/>
          <w:sz w:val="28"/>
          <w:szCs w:val="28"/>
        </w:rPr>
        <w:t>.</w:t>
      </w:r>
      <w:r w:rsidRPr="003F6FC3">
        <w:rPr>
          <w:bCs/>
          <w:sz w:val="28"/>
          <w:szCs w:val="28"/>
        </w:rPr>
        <w:t xml:space="preserve"> </w:t>
      </w:r>
    </w:p>
    <w:p w:rsidR="009B1168" w:rsidRPr="003F6FC3" w:rsidRDefault="009B1168" w:rsidP="003F6FC3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9B1168">
        <w:rPr>
          <w:b/>
          <w:bCs/>
          <w:sz w:val="28"/>
          <w:szCs w:val="28"/>
        </w:rPr>
        <w:t>Виділення</w:t>
      </w:r>
      <w:proofErr w:type="spellEnd"/>
      <w:r w:rsidRPr="009B1168">
        <w:rPr>
          <w:b/>
          <w:bCs/>
          <w:sz w:val="28"/>
          <w:szCs w:val="28"/>
        </w:rPr>
        <w:t xml:space="preserve"> не </w:t>
      </w:r>
      <w:proofErr w:type="spellStart"/>
      <w:r w:rsidRPr="009B1168">
        <w:rPr>
          <w:b/>
          <w:bCs/>
          <w:sz w:val="28"/>
          <w:szCs w:val="28"/>
        </w:rPr>
        <w:t>вирішених</w:t>
      </w:r>
      <w:proofErr w:type="spellEnd"/>
      <w:r w:rsidRPr="009B1168">
        <w:rPr>
          <w:b/>
          <w:bCs/>
          <w:sz w:val="28"/>
          <w:szCs w:val="28"/>
        </w:rPr>
        <w:t xml:space="preserve"> </w:t>
      </w:r>
      <w:proofErr w:type="spellStart"/>
      <w:r w:rsidRPr="009B1168">
        <w:rPr>
          <w:b/>
          <w:bCs/>
          <w:sz w:val="28"/>
          <w:szCs w:val="28"/>
        </w:rPr>
        <w:t>раніше</w:t>
      </w:r>
      <w:proofErr w:type="spellEnd"/>
      <w:r w:rsidRPr="009B1168">
        <w:rPr>
          <w:b/>
          <w:bCs/>
          <w:sz w:val="28"/>
          <w:szCs w:val="28"/>
        </w:rPr>
        <w:t xml:space="preserve"> </w:t>
      </w:r>
      <w:proofErr w:type="spellStart"/>
      <w:r w:rsidRPr="009B1168">
        <w:rPr>
          <w:b/>
          <w:bCs/>
          <w:sz w:val="28"/>
          <w:szCs w:val="28"/>
        </w:rPr>
        <w:t>частин</w:t>
      </w:r>
      <w:proofErr w:type="spellEnd"/>
      <w:r w:rsidRPr="009B1168">
        <w:rPr>
          <w:b/>
          <w:bCs/>
          <w:sz w:val="28"/>
          <w:szCs w:val="28"/>
        </w:rPr>
        <w:t xml:space="preserve"> </w:t>
      </w:r>
      <w:proofErr w:type="spellStart"/>
      <w:r w:rsidRPr="009B1168">
        <w:rPr>
          <w:b/>
          <w:bCs/>
          <w:sz w:val="28"/>
          <w:szCs w:val="28"/>
        </w:rPr>
        <w:t>загальної</w:t>
      </w:r>
      <w:proofErr w:type="spellEnd"/>
      <w:r w:rsidRPr="009B1168">
        <w:rPr>
          <w:b/>
          <w:bCs/>
          <w:sz w:val="28"/>
          <w:szCs w:val="28"/>
        </w:rPr>
        <w:t xml:space="preserve"> </w:t>
      </w:r>
      <w:proofErr w:type="spellStart"/>
      <w:r w:rsidRPr="009B1168">
        <w:rPr>
          <w:b/>
          <w:bCs/>
          <w:sz w:val="28"/>
          <w:szCs w:val="28"/>
        </w:rPr>
        <w:t>проблеми</w:t>
      </w:r>
      <w:proofErr w:type="spellEnd"/>
      <w:r w:rsidRPr="009B1168">
        <w:rPr>
          <w:b/>
          <w:bCs/>
          <w:sz w:val="28"/>
          <w:szCs w:val="28"/>
        </w:rPr>
        <w:t>.</w:t>
      </w:r>
      <w:r w:rsidR="003F6FC3">
        <w:rPr>
          <w:b/>
          <w:bCs/>
          <w:sz w:val="28"/>
          <w:szCs w:val="28"/>
          <w:lang w:val="uk-UA"/>
        </w:rPr>
        <w:t xml:space="preserve"> </w:t>
      </w:r>
      <w:r w:rsidR="003F6FC3" w:rsidRPr="003F6FC3">
        <w:rPr>
          <w:bCs/>
          <w:sz w:val="28"/>
          <w:szCs w:val="28"/>
          <w:lang w:val="uk-UA"/>
        </w:rPr>
        <w:t xml:space="preserve">На нашу думку, невирішеними залишаються питання </w:t>
      </w:r>
      <w:r w:rsidR="003F6FC3">
        <w:rPr>
          <w:bCs/>
          <w:sz w:val="28"/>
          <w:szCs w:val="28"/>
          <w:lang w:val="uk-UA"/>
        </w:rPr>
        <w:t>щодо формування конкретного механізму фінансування</w:t>
      </w:r>
      <w:r w:rsidR="003F6FC3" w:rsidRPr="003F6FC3">
        <w:rPr>
          <w:bCs/>
          <w:sz w:val="28"/>
          <w:szCs w:val="28"/>
          <w:lang w:val="uk-UA"/>
        </w:rPr>
        <w:t xml:space="preserve"> діяльності локальних інноваційних центрів. Потребують конкретизації методи та інструменти такого </w:t>
      </w:r>
      <w:r w:rsidR="003F6FC3">
        <w:rPr>
          <w:bCs/>
          <w:sz w:val="28"/>
          <w:szCs w:val="28"/>
          <w:lang w:val="uk-UA"/>
        </w:rPr>
        <w:t>фінансування</w:t>
      </w:r>
      <w:r w:rsidR="003F6FC3" w:rsidRPr="003F6FC3">
        <w:rPr>
          <w:bCs/>
          <w:sz w:val="28"/>
          <w:szCs w:val="28"/>
          <w:lang w:val="uk-UA"/>
        </w:rPr>
        <w:t>, а також самі механізми здійснення банківського кредитування</w:t>
      </w:r>
      <w:r w:rsidR="003F6FC3">
        <w:rPr>
          <w:bCs/>
          <w:sz w:val="28"/>
          <w:szCs w:val="28"/>
          <w:lang w:val="uk-UA"/>
        </w:rPr>
        <w:t xml:space="preserve">, інвестування та </w:t>
      </w:r>
      <w:proofErr w:type="spellStart"/>
      <w:r w:rsidR="003F6FC3">
        <w:rPr>
          <w:bCs/>
          <w:sz w:val="28"/>
          <w:szCs w:val="28"/>
          <w:lang w:val="uk-UA"/>
        </w:rPr>
        <w:t>співфінансування</w:t>
      </w:r>
      <w:proofErr w:type="spellEnd"/>
      <w:r w:rsidR="003F6FC3" w:rsidRPr="003F6FC3">
        <w:rPr>
          <w:bCs/>
          <w:sz w:val="28"/>
          <w:szCs w:val="28"/>
          <w:lang w:val="uk-UA"/>
        </w:rPr>
        <w:t xml:space="preserve"> таких центрів, їх переваги для суб’єктів такої співпраці.</w:t>
      </w:r>
    </w:p>
    <w:p w:rsidR="009B1168" w:rsidRPr="004C1527" w:rsidRDefault="009B1168" w:rsidP="004C15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B1168">
        <w:rPr>
          <w:b/>
          <w:bCs/>
          <w:sz w:val="28"/>
          <w:szCs w:val="28"/>
        </w:rPr>
        <w:t xml:space="preserve">Мета </w:t>
      </w:r>
      <w:proofErr w:type="spellStart"/>
      <w:r w:rsidRPr="009B1168">
        <w:rPr>
          <w:b/>
          <w:bCs/>
          <w:sz w:val="28"/>
          <w:szCs w:val="28"/>
        </w:rPr>
        <w:t>статті</w:t>
      </w:r>
      <w:proofErr w:type="spellEnd"/>
      <w:r w:rsidRPr="009B1168">
        <w:rPr>
          <w:b/>
          <w:bCs/>
          <w:sz w:val="28"/>
          <w:szCs w:val="28"/>
        </w:rPr>
        <w:t xml:space="preserve">. </w:t>
      </w:r>
      <w:r w:rsidR="003F6FC3">
        <w:rPr>
          <w:sz w:val="28"/>
          <w:szCs w:val="28"/>
        </w:rPr>
        <w:t xml:space="preserve">Головною метою </w:t>
      </w:r>
      <w:proofErr w:type="spellStart"/>
      <w:r w:rsidR="003F6FC3">
        <w:rPr>
          <w:sz w:val="28"/>
          <w:szCs w:val="28"/>
        </w:rPr>
        <w:t>цієї</w:t>
      </w:r>
      <w:proofErr w:type="spellEnd"/>
      <w:r w:rsidR="003F6FC3">
        <w:rPr>
          <w:sz w:val="28"/>
          <w:szCs w:val="28"/>
        </w:rPr>
        <w:t xml:space="preserve"> </w:t>
      </w:r>
      <w:proofErr w:type="spellStart"/>
      <w:r w:rsidR="003F6FC3">
        <w:rPr>
          <w:sz w:val="28"/>
          <w:szCs w:val="28"/>
        </w:rPr>
        <w:t>роботи</w:t>
      </w:r>
      <w:proofErr w:type="spellEnd"/>
      <w:r w:rsidR="003F6FC3">
        <w:rPr>
          <w:sz w:val="28"/>
          <w:szCs w:val="28"/>
        </w:rPr>
        <w:t xml:space="preserve"> </w:t>
      </w:r>
      <w:proofErr w:type="spellStart"/>
      <w:r w:rsidR="003F6FC3">
        <w:rPr>
          <w:sz w:val="28"/>
          <w:szCs w:val="28"/>
        </w:rPr>
        <w:t>є</w:t>
      </w:r>
      <w:proofErr w:type="spellEnd"/>
      <w:r w:rsidR="003F6FC3">
        <w:rPr>
          <w:sz w:val="28"/>
          <w:szCs w:val="28"/>
        </w:rPr>
        <w:t xml:space="preserve"> </w:t>
      </w:r>
      <w:r w:rsidR="004C1527">
        <w:rPr>
          <w:sz w:val="28"/>
          <w:szCs w:val="28"/>
          <w:lang w:val="uk-UA"/>
        </w:rPr>
        <w:t xml:space="preserve">визначення альтернативних шляхів </w:t>
      </w:r>
      <w:proofErr w:type="spellStart"/>
      <w:r w:rsidR="004C1527" w:rsidRPr="004C1527">
        <w:rPr>
          <w:sz w:val="28"/>
          <w:szCs w:val="28"/>
        </w:rPr>
        <w:t>щодо</w:t>
      </w:r>
      <w:proofErr w:type="spellEnd"/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активізації</w:t>
      </w:r>
      <w:proofErr w:type="spellEnd"/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нових</w:t>
      </w:r>
      <w:proofErr w:type="spellEnd"/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механізмів</w:t>
      </w:r>
      <w:proofErr w:type="spellEnd"/>
      <w:r w:rsidR="004C1527" w:rsidRPr="004C1527">
        <w:rPr>
          <w:sz w:val="28"/>
          <w:szCs w:val="28"/>
        </w:rPr>
        <w:t xml:space="preserve"> </w:t>
      </w:r>
      <w:r w:rsidR="004C1527">
        <w:rPr>
          <w:sz w:val="28"/>
          <w:szCs w:val="28"/>
          <w:lang w:val="uk-UA"/>
        </w:rPr>
        <w:t xml:space="preserve">фінансування </w:t>
      </w:r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інноваційних</w:t>
      </w:r>
      <w:proofErr w:type="spellEnd"/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центрів</w:t>
      </w:r>
      <w:proofErr w:type="spellEnd"/>
      <w:r w:rsidR="004C1527" w:rsidRPr="004C1527">
        <w:rPr>
          <w:sz w:val="28"/>
          <w:szCs w:val="28"/>
        </w:rPr>
        <w:t xml:space="preserve"> </w:t>
      </w:r>
      <w:proofErr w:type="gramStart"/>
      <w:r w:rsidR="004C1527" w:rsidRPr="004C1527">
        <w:rPr>
          <w:sz w:val="28"/>
          <w:szCs w:val="28"/>
        </w:rPr>
        <w:t>в</w:t>
      </w:r>
      <w:proofErr w:type="gramEnd"/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Україні</w:t>
      </w:r>
      <w:proofErr w:type="spellEnd"/>
      <w:r w:rsidR="004C1527" w:rsidRPr="004C1527">
        <w:rPr>
          <w:sz w:val="28"/>
          <w:szCs w:val="28"/>
        </w:rPr>
        <w:t xml:space="preserve"> та </w:t>
      </w:r>
      <w:proofErr w:type="spellStart"/>
      <w:r w:rsidR="004C1527" w:rsidRPr="004C1527">
        <w:rPr>
          <w:sz w:val="28"/>
          <w:szCs w:val="28"/>
        </w:rPr>
        <w:t>виявлення</w:t>
      </w:r>
      <w:proofErr w:type="spellEnd"/>
      <w:r w:rsidR="004C1527" w:rsidRPr="004C1527">
        <w:rPr>
          <w:sz w:val="28"/>
          <w:szCs w:val="28"/>
        </w:rPr>
        <w:t xml:space="preserve"> перспектив </w:t>
      </w:r>
      <w:proofErr w:type="spellStart"/>
      <w:r w:rsidR="004C1527" w:rsidRPr="004C1527">
        <w:rPr>
          <w:sz w:val="28"/>
          <w:szCs w:val="28"/>
        </w:rPr>
        <w:t>подальшої</w:t>
      </w:r>
      <w:proofErr w:type="spellEnd"/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співпраці</w:t>
      </w:r>
      <w:proofErr w:type="spellEnd"/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локальних</w:t>
      </w:r>
      <w:proofErr w:type="spellEnd"/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інноваційних</w:t>
      </w:r>
      <w:proofErr w:type="spellEnd"/>
      <w:r w:rsidR="004C1527" w:rsidRPr="004C1527">
        <w:rPr>
          <w:sz w:val="28"/>
          <w:szCs w:val="28"/>
        </w:rPr>
        <w:t xml:space="preserve"> </w:t>
      </w:r>
      <w:proofErr w:type="spellStart"/>
      <w:r w:rsidR="004C1527" w:rsidRPr="004C1527">
        <w:rPr>
          <w:sz w:val="28"/>
          <w:szCs w:val="28"/>
        </w:rPr>
        <w:t>центрів</w:t>
      </w:r>
      <w:proofErr w:type="spellEnd"/>
      <w:r w:rsidR="004C1527" w:rsidRPr="004C1527">
        <w:rPr>
          <w:sz w:val="28"/>
          <w:szCs w:val="28"/>
        </w:rPr>
        <w:t xml:space="preserve"> та </w:t>
      </w:r>
      <w:r w:rsidR="004C1527">
        <w:rPr>
          <w:sz w:val="28"/>
          <w:szCs w:val="28"/>
          <w:lang w:val="uk-UA"/>
        </w:rPr>
        <w:t>інших суб’єктів господарювання</w:t>
      </w:r>
      <w:r w:rsidR="004C1527" w:rsidRPr="004C1527">
        <w:rPr>
          <w:sz w:val="28"/>
          <w:szCs w:val="28"/>
        </w:rPr>
        <w:t>.</w:t>
      </w:r>
    </w:p>
    <w:p w:rsidR="009B1168" w:rsidRDefault="009B1168" w:rsidP="004C1527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9B1168">
        <w:rPr>
          <w:b/>
          <w:bCs/>
          <w:sz w:val="28"/>
          <w:szCs w:val="28"/>
        </w:rPr>
        <w:t>Виклад</w:t>
      </w:r>
      <w:proofErr w:type="spellEnd"/>
      <w:r w:rsidRPr="009B1168">
        <w:rPr>
          <w:b/>
          <w:bCs/>
          <w:sz w:val="28"/>
          <w:szCs w:val="28"/>
        </w:rPr>
        <w:t xml:space="preserve"> основного </w:t>
      </w:r>
      <w:proofErr w:type="spellStart"/>
      <w:proofErr w:type="gramStart"/>
      <w:r w:rsidRPr="009B1168">
        <w:rPr>
          <w:b/>
          <w:bCs/>
          <w:sz w:val="28"/>
          <w:szCs w:val="28"/>
        </w:rPr>
        <w:t>матер</w:t>
      </w:r>
      <w:proofErr w:type="gramEnd"/>
      <w:r w:rsidRPr="009B1168">
        <w:rPr>
          <w:b/>
          <w:bCs/>
          <w:sz w:val="28"/>
          <w:szCs w:val="28"/>
        </w:rPr>
        <w:t>іалу</w:t>
      </w:r>
      <w:proofErr w:type="spellEnd"/>
      <w:r w:rsidRPr="009B1168">
        <w:rPr>
          <w:b/>
          <w:bCs/>
          <w:sz w:val="28"/>
          <w:szCs w:val="28"/>
        </w:rPr>
        <w:t>.</w:t>
      </w:r>
      <w:r w:rsidR="004C1527">
        <w:rPr>
          <w:b/>
          <w:bCs/>
          <w:sz w:val="28"/>
          <w:szCs w:val="28"/>
          <w:lang w:val="uk-UA"/>
        </w:rPr>
        <w:t xml:space="preserve"> </w:t>
      </w:r>
      <w:r w:rsidR="004C1527" w:rsidRPr="004C1527">
        <w:rPr>
          <w:bCs/>
          <w:sz w:val="28"/>
          <w:szCs w:val="28"/>
          <w:lang w:val="uk-UA"/>
        </w:rPr>
        <w:t xml:space="preserve">Аналіз світового досвіду використання таких форм активізації інноваційної діяльності у США, Японії, країнах Західної Європи, СНД та інших країнах доводить їх актуальність та перспективність для України. Разом з тим, ефективність функціонування </w:t>
      </w:r>
      <w:r w:rsidR="004C1527" w:rsidRPr="004C1527">
        <w:rPr>
          <w:bCs/>
          <w:sz w:val="28"/>
          <w:szCs w:val="28"/>
          <w:lang w:val="uk-UA"/>
        </w:rPr>
        <w:lastRenderedPageBreak/>
        <w:t>локальних інноваційних центрів багато в чому визначається належним рівнем фінансування їх діяльності, особливо на початковій стадії.</w:t>
      </w:r>
    </w:p>
    <w:p w:rsidR="004C1527" w:rsidRDefault="004C1527" w:rsidP="004C1527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відпрацювання альтернативних схем фінансування локальних інноваційних центрів доцільно описати даний механізм </w:t>
      </w:r>
      <w:r w:rsidRPr="004C1527">
        <w:rPr>
          <w:sz w:val="28"/>
          <w:szCs w:val="28"/>
          <w:lang w:val="uk-UA"/>
        </w:rPr>
        <w:t>шляхом створення спеціальних державних програм.</w:t>
      </w:r>
    </w:p>
    <w:p w:rsidR="004C1527" w:rsidRPr="004C1527" w:rsidRDefault="004C1527" w:rsidP="0093280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C1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створенні таких програм доцільно скористатись досвідом США як однієї з провідних країн з інноваційним типом економіки і найбільш ефективним механізмом формування інноваційної стратегії. Адаптуючи до українських умов розвитку локальних інноваційних центрів такі американські програми,  як:  «</w:t>
      </w:r>
      <w:r w:rsidRPr="004C152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Програма інноваційних досліджень», «Програма трансферу технологій», «Програма трансферу технологій у галузі малого бізнесу» і «Програма новітніх технологій» [</w:t>
      </w:r>
      <w:r w:rsidR="0093280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</w:t>
      </w:r>
      <w:r w:rsidRPr="004C152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="0093280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4C152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с. 78-90]</w:t>
      </w:r>
      <w:r w:rsidRPr="004C152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4C152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було запропоновано дві нові програми: «Програма спільного фінансування розвитку локальних  інноваційних центрів» (на основі державно-приватного партнерства), «Програма співпраці «університет – локальні інноваційні центри»</w:t>
      </w:r>
      <w:r w:rsidR="0093280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</w:p>
    <w:p w:rsidR="00EF063B" w:rsidRPr="00EF063B" w:rsidRDefault="00932807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EF063B" w:rsidRPr="00EF063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«Програма спільного фінансування розвитку локальних інноваційних центрів» передбачає:</w:t>
      </w: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1) створення Агентства державно-приватного партнерства в Україні;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63B">
        <w:rPr>
          <w:rFonts w:ascii="Times New Roman" w:hAnsi="Times New Roman" w:cs="Times New Roman"/>
          <w:sz w:val="28"/>
          <w:szCs w:val="28"/>
          <w:lang w:val="uk-UA"/>
        </w:rPr>
        <w:t>2) впровадження програм спільного фінансування для здійснення: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- спільних наукових досліджень і розробок у важливих для держави галузях;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- трансферу результатів досліджень до підприємств;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- інноваційних проектів локальних інноваційних центрів.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63B">
        <w:rPr>
          <w:rFonts w:ascii="Times New Roman" w:hAnsi="Times New Roman" w:cs="Times New Roman"/>
          <w:sz w:val="28"/>
          <w:szCs w:val="28"/>
          <w:lang w:val="uk-UA"/>
        </w:rPr>
        <w:t>3) створення інноваційних фондів (венчурних фондів) шляхом застосування механізмів державно-приватного партнерства та мобілізації державних і приватних фінансових ресурсів для фінансування роботи локальних інноваційних центрів.</w:t>
      </w: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Запропонована програма передбачає посилення взаємозв’язків трикутника «держава-наука-бізнес» у контексті сприяння розвитку локальних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інноваційних центрів. Концепція програми повинна будуватися на основі гармонійного поєднання публічних і приватних інтересів, а регулювання відбуватися за рахунок оптимального збалансування  регуляторних і ринкових важелів. При цьому підкреслюється роль держави: 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фундаментальної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пріоритетних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соціально-важливих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ах)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державно-приватному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мобілізації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інвестування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приватного сектор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а;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у створенні системи взаємодії бізнесу і науки.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Провідну роль повинні відіграти приватний бізнес і підприємницька ініціатива. Змінюється і роль держави в інноваційних відносинах. Держава виступає у відносинах не тільки як суб’єкт влади, а як рівноправний партнер, як підприємець, готовий розділити ризики від інноваційної діяльності. </w:t>
      </w:r>
      <w:r w:rsidRPr="00EF063B">
        <w:rPr>
          <w:rFonts w:ascii="Times New Roman" w:eastAsia="Times New Roman" w:hAnsi="Times New Roman" w:cs="Times New Roman"/>
          <w:iCs/>
          <w:noProof/>
          <w:color w:val="FF0000"/>
          <w:position w:val="-10"/>
          <w:sz w:val="28"/>
          <w:szCs w:val="28"/>
          <w:lang w:val="uk-UA"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96080749" r:id="rId6"/>
        </w:objec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«Програма спільного фінансування розвитку локальних інноваційних центрів» повинна реалізовуватись на таких рівнях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F063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стратегічному рівні</w:t>
      </w:r>
      <w:r w:rsidRPr="00EF06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Агентство державно-приватного партнерства, до складу якого необхідно залучити представників державної і приватної сфери. До повноважень Агентства  має входити насамперед прогнозування потреб національної економіки, окремих  галузей з позицій забезпечення технологічних переваг їх конкурентного розвитку, відбір на конкурсній основі інноваційних проектів, </w:t>
      </w: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створення або сприяння створенню нових і високотехнологічних виробництв, виставкове, інформаційне та маркетингове забезпечення інноваційної діяльності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EF0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рівні науки</w:t>
      </w:r>
      <w:r w:rsidRPr="00EF0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локальні інноваційні центри (технопарки, індустріальні парки</w:t>
      </w:r>
      <w:r w:rsidRPr="00EF0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, </w:t>
      </w:r>
      <w:r w:rsidRPr="00EF06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наукові парки, інноваційні центри, науково-дослідні установи, бізнес-інкубатори),</w:t>
      </w:r>
      <w:r w:rsidRPr="00EF0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будуть оцінювати інноваційну спроможність (ринкову орієнтованість) результатів наукових досліджень, кваліфікувати об’єкти інновацій, надавати допомогу з бухгалтерського обліку та оподаткування, патентного забезпечення та оформлення прав інтелектуальної власності малим інноваційним фірмам; 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r w:rsidRPr="00EF0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рівні впровадження у виробництво</w:t>
      </w:r>
      <w:r w:rsidRPr="00EF0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комерційні партнерства на базі науково-дослідних установ з метою інноваційної діяльності, тобто комерціалізації розробок, у які державні наукові установи увійдуть з правами інтелектуальної власності, а приватні інвестори з фінансовими внесками;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EF0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рівні фінансування 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EF0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Інноваційний фонд спільного державно-приватного інвестування, який слід створити у формі  акціонерного товариства приватного права; він складатиметься з холдингу та дочірніх компаній, 50% капіталу якого належить державі, а решта – приватним інвесторам.  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формування дієвих механізмів фінансової підтримки інноваційної діяльності, нововведень у промисловості та забезпечення економічного зростання в Україні доцільно в рамках державної фінансової системи ввести окремий структурний елемент – Інноваційний банк. Це сприяло б збільшенню сукупного обороту фінансування інноваційних проектів локальних інноваційних центрів. </w:t>
      </w:r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початковому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держава повинна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володіти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контрольним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пакетом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акцій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банку.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національними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співзасновниками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банку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зацікавлені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платоспроможні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суб’єкти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згодом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залучатися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нерезиденти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EF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захисту від ризику та гарантування повернення приватного капіталу інвестору в разі настання ризикової події, доцільним є уповноваження обраної органами виконавчої влади </w:t>
      </w:r>
      <w:proofErr w:type="spellStart"/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страховї</w:t>
      </w:r>
      <w:proofErr w:type="spellEnd"/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компанії зі страхування інвестицій в інновації. Ця компанія має тісно співпрацювати з усіма інституційними структурами, у першу чергу, з Інноваційним банком та Інноваційним фондом. </w:t>
      </w: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спільного фінансування програма використовує наступні механізми:</w:t>
      </w:r>
    </w:p>
    <w:p w:rsidR="00EF063B" w:rsidRPr="00EF063B" w:rsidRDefault="00EF063B" w:rsidP="00EF06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06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прямих кредитів </w:t>
      </w:r>
      <w:r w:rsidRPr="00EF063B">
        <w:rPr>
          <w:rFonts w:ascii="Times New Roman" w:hAnsi="Times New Roman" w:cs="Times New Roman"/>
          <w:sz w:val="28"/>
          <w:szCs w:val="28"/>
          <w:lang w:val="uk-UA"/>
        </w:rPr>
        <w:t>Інноваційним банком</w:t>
      </w:r>
      <w:r w:rsidRPr="00EF063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тим </w:t>
      </w:r>
      <w:proofErr w:type="spellStart"/>
      <w:r w:rsidRPr="00EF063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ЛІЦ</w:t>
      </w:r>
      <w:proofErr w:type="spellEnd"/>
      <w:r w:rsidRPr="00EF063B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,  які з тих чи інших обставин не можуть скористатися звичайними каналами залучення кредитних ресурсів. Це відкриє додаткові джерела ресурсів для </w:t>
      </w:r>
      <w:r w:rsidRPr="00EF063B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>технопарків і бізнес-інкубаторів, одночасно забезпечить фінансовий обіг і прибутковість банку;</w:t>
      </w:r>
    </w:p>
    <w:p w:rsidR="00EF063B" w:rsidRPr="00EF063B" w:rsidRDefault="00EF063B" w:rsidP="00EF06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063B">
        <w:rPr>
          <w:rFonts w:ascii="Times New Roman" w:eastAsia="Calibri" w:hAnsi="Times New Roman" w:cs="Times New Roman"/>
          <w:sz w:val="28"/>
          <w:szCs w:val="28"/>
          <w:lang w:val="uk-UA"/>
        </w:rPr>
        <w:t>надання інвестицій Інноваційним фондом</w:t>
      </w:r>
      <w:r w:rsidRPr="00EF063B">
        <w:rPr>
          <w:rFonts w:ascii="Calibri" w:eastAsia="Calibri" w:hAnsi="Calibri" w:cs="Times New Roman"/>
          <w:lang w:val="uk-UA"/>
        </w:rPr>
        <w:t xml:space="preserve"> </w:t>
      </w:r>
      <w:r w:rsidRPr="00EF06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спільного державно-приватного інвестування на реалізацію тих проектів </w:t>
      </w:r>
      <w:proofErr w:type="spellStart"/>
      <w:r w:rsidRPr="00EF063B">
        <w:rPr>
          <w:rFonts w:ascii="Times New Roman" w:eastAsia="Calibri" w:hAnsi="Times New Roman" w:cs="Times New Roman"/>
          <w:sz w:val="28"/>
          <w:szCs w:val="28"/>
          <w:lang w:val="uk-UA"/>
        </w:rPr>
        <w:t>ЛІЦ</w:t>
      </w:r>
      <w:proofErr w:type="spellEnd"/>
      <w:r w:rsidRPr="00EF063B">
        <w:rPr>
          <w:rFonts w:ascii="Times New Roman" w:eastAsia="Calibri" w:hAnsi="Times New Roman" w:cs="Times New Roman"/>
          <w:sz w:val="28"/>
          <w:szCs w:val="28"/>
          <w:lang w:val="uk-UA"/>
        </w:rPr>
        <w:t>, які були відібрані Агентством державно-приватного партнерства. Даний механізм передбачає посприяти розвитку стратегічно важливих розробок і напрямів наукових досліджень для країни;</w:t>
      </w:r>
    </w:p>
    <w:p w:rsidR="00EF063B" w:rsidRPr="00EF063B" w:rsidRDefault="00EF063B" w:rsidP="00EF06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063B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резидентів індустріальних парків, які інвестують в інновації: спільне фінансування  оплати праці персоналу, задіяному в науково-дослідній роботі (на 50% фінансується Інноваційним фондом);</w:t>
      </w:r>
    </w:p>
    <w:p w:rsidR="00EF063B" w:rsidRPr="00EF063B" w:rsidRDefault="00EF063B" w:rsidP="00EF06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063B">
        <w:rPr>
          <w:rFonts w:ascii="Times New Roman" w:eastAsia="Calibri" w:hAnsi="Times New Roman" w:cs="Times New Roman"/>
          <w:sz w:val="28"/>
          <w:szCs w:val="28"/>
          <w:lang w:val="uk-UA"/>
        </w:rPr>
        <w:t>спільне фінансування проектів, перенесення в індустріальні парки виробництв з більшою доданою вартістю (до 40% фінансується з Інноваційного фонду).  Це дозволило б підвищити привабливість українських індустріальних парків, створити бізнес-кейс для приватних інвестицій в облаштування парків та реєстрацію парків в національному реєстрі та стимулювало б переміщення в країну більш високотехнологічних виробництв;</w:t>
      </w:r>
    </w:p>
    <w:p w:rsidR="00EF063B" w:rsidRPr="00EF063B" w:rsidRDefault="00EF063B" w:rsidP="00EF06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F063B">
        <w:rPr>
          <w:rFonts w:ascii="Times New Roman" w:eastAsia="Calibri" w:hAnsi="Times New Roman" w:cs="Times New Roman"/>
          <w:sz w:val="28"/>
          <w:szCs w:val="28"/>
          <w:lang w:val="uk-UA"/>
        </w:rPr>
        <w:t>спільне фінансування відібраних на конкурсній основі Агентством державно-приватного партнерства проектів, ініціаторів створення локальних інноваційних центрів: бюджетне фінансування – 30% від вартості проекту, решта – приватні компанії або органи місцевого самоврядування;</w:t>
      </w:r>
    </w:p>
    <w:p w:rsidR="00EF063B" w:rsidRPr="00EF063B" w:rsidRDefault="00EF063B" w:rsidP="00EF06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63B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механізмів венчурного фінансування ризикових інноваційних проектів через формування спільних фондів венчурного капіталу на регіональному рівні. </w:t>
      </w: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Доцільно застосувати досвід Ізраїлю та Великобританії. Дольова участь спеціально створених державних інвестиційних фондів у регіональних венчурних  фондах  стала  каталізатором розвитку венчурного інвестування та активно впроваджується і на сьогодні. Обидва фонди створюються в </w:t>
      </w: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організаційно-правовій формі обмеженого партнерства, здійснюють свою діяльність під керівництвом приватних керуючих компаній (як правило, зарубіжних).  Кошти держави складають зазвичай не більше 50% від кожного регіонального фонду, решта має бути залучена від приватних інвесторів. Відносно виплат діє правило першого постраждалого на користь приватного інвестора [2, с. 70]. </w:t>
      </w: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Загальна схема взаємодії суб’єктів за «Програмою спільного фінансування розвитку локальних інноваційних центрів» представлена на рис.</w:t>
      </w:r>
      <w:r w:rsidR="0093280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F063B" w:rsidRPr="00EF063B" w:rsidRDefault="00EF063B" w:rsidP="00EF06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321" style="position:absolute;left:0;text-align:left;margin-left:4.95pt;margin-top:3.3pt;width:456.75pt;height:364.5pt;z-index:251665408" coordorigin="1800,1200" coordsize="9135,7290">
            <v:roundrect id="_x0000_s1322" style="position:absolute;left:5580;top:3630;width:1785;height:1260" arcsize="10923f">
              <v:textbox style="mso-next-textbox:#_x0000_s1322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E72FB">
                      <w:rPr>
                        <w:rFonts w:ascii="Times New Roman" w:hAnsi="Times New Roman" w:cs="Times New Roman"/>
                      </w:rPr>
                      <w:t xml:space="preserve">Агентство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державно-приватного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партнерства</w:t>
                    </w:r>
                  </w:p>
                </w:txbxContent>
              </v:textbox>
            </v:roundrect>
            <v:roundrect id="_x0000_s1323" style="position:absolute;left:3525;top:3630;width:2055;height:780" arcsize="10923f">
              <v:textbox style="mso-next-textbox:#_x0000_s1323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Інноваційний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фонд</w:t>
                    </w:r>
                  </w:p>
                </w:txbxContent>
              </v:textbox>
            </v:roundrect>
            <v:oval id="_x0000_s1324" style="position:absolute;left:1800;top:1200;width:1935;height:765">
              <v:textbox style="mso-next-textbox:#_x0000_s1324">
                <w:txbxContent>
                  <w:p w:rsidR="00EF063B" w:rsidRPr="00EF063B" w:rsidRDefault="00EF063B" w:rsidP="00EF063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F063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Держава</w:t>
                    </w:r>
                  </w:p>
                </w:txbxContent>
              </v:textbox>
            </v:oval>
            <v:roundrect id="_x0000_s1325" style="position:absolute;left:7335;top:3630;width:2055;height:780" arcsize="10923f">
              <v:textbox style="mso-next-textbox:#_x0000_s1325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Інноваційний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банк</w:t>
                    </w:r>
                  </w:p>
                </w:txbxContent>
              </v:textbox>
            </v:roundrect>
            <v:rect id="_x0000_s1326" style="position:absolute;left:9195;top:1200;width:1440;height:765">
              <v:textbox style="mso-next-textbox:#_x0000_s1326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Приватний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сектор</w:t>
                    </w:r>
                  </w:p>
                </w:txbxContent>
              </v:textbox>
            </v:rect>
            <v:rect id="_x0000_s1327" style="position:absolute;left:9150;top:7350;width:1530;height:735">
              <v:textbox style="mso-next-textbox:#_x0000_s1327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Комерційні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партнерства</w:t>
                    </w:r>
                  </w:p>
                </w:txbxContent>
              </v:textbox>
            </v:rect>
            <v:roundrect id="_x0000_s1328" style="position:absolute;left:3525;top:5790;width:5670;height:765" arcsize="10923f">
              <v:textbox style="mso-next-textbox:#_x0000_s1328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Локальні</w:t>
                    </w:r>
                    <w:proofErr w:type="spellEnd"/>
                  </w:p>
                  <w:p w:rsidR="00EF063B" w:rsidRPr="001E72FB" w:rsidRDefault="00EF063B" w:rsidP="00EF063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інноваційні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центри</w:t>
                    </w:r>
                    <w:proofErr w:type="spellEnd"/>
                  </w:p>
                </w:txbxContent>
              </v:textbox>
            </v:roundrect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329" type="#_x0000_t80" style="position:absolute;left:3735;top:1695;width:1620;height:1935">
              <v:textbox style="mso-next-textbox:#_x0000_s1329">
                <w:txbxContent>
                  <w:p w:rsidR="00EF063B" w:rsidRPr="001E72FB" w:rsidRDefault="00EF063B" w:rsidP="00EF06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Внески</w:t>
                    </w:r>
                    <w:proofErr w:type="spellEnd"/>
                  </w:p>
                  <w:p w:rsidR="00EF063B" w:rsidRPr="001E72FB" w:rsidRDefault="00EF063B" w:rsidP="00EF063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держави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приватного сектора</w:t>
                    </w:r>
                  </w:p>
                </w:txbxContent>
              </v:textbox>
            </v:shape>
            <v:shape id="_x0000_s1330" type="#_x0000_t80" style="position:absolute;left:5715;top:1695;width:1620;height:1935">
              <v:textbox style="mso-next-textbox:#_x0000_s1330">
                <w:txbxContent>
                  <w:p w:rsidR="00EF063B" w:rsidRPr="001E72FB" w:rsidRDefault="00EF063B" w:rsidP="00EF06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Представники</w:t>
                    </w:r>
                    <w:proofErr w:type="spellEnd"/>
                  </w:p>
                  <w:p w:rsidR="00EF063B" w:rsidRPr="001E72FB" w:rsidRDefault="00EF063B" w:rsidP="00EF06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держави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приватного сектора</w:t>
                    </w:r>
                  </w:p>
                </w:txbxContent>
              </v:textbox>
            </v:shape>
            <v:shape id="_x0000_s1331" type="#_x0000_t80" style="position:absolute;left:7575;top:1650;width:1620;height:1980">
              <v:textbox style="mso-next-textbox:#_x0000_s1331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Акціонерні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внески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:rsidR="00EF063B" w:rsidRPr="005564A4" w:rsidRDefault="00EF063B" w:rsidP="001E72F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держави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приватного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сектора</w:t>
                    </w:r>
                  </w:p>
                </w:txbxContent>
              </v:textbox>
            </v:shape>
            <v:roundrect id="_x0000_s1332" style="position:absolute;left:3735;top:1200;width:5460;height:495" arcsize="10923f">
              <v:textbox style="mso-next-textbox:#_x0000_s1332">
                <w:txbxContent>
                  <w:p w:rsidR="00EF063B" w:rsidRPr="00EF063B" w:rsidRDefault="00EF063B" w:rsidP="00EF063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EF063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Державно-приватне</w:t>
                    </w:r>
                    <w:proofErr w:type="spellEnd"/>
                    <w:r w:rsidRPr="00EF063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партнерство</w:t>
                    </w:r>
                  </w:p>
                </w:txbxContent>
              </v:textbox>
            </v:roundrect>
            <v:rect id="_x0000_s1333" style="position:absolute;left:2010;top:6840;width:1920;height:1110">
              <v:textbox style="mso-next-textbox:#_x0000_s1333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Уповноважена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страхова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компанія</w:t>
                    </w:r>
                    <w:proofErr w:type="spellEnd"/>
                  </w:p>
                  <w:p w:rsidR="00EF063B" w:rsidRDefault="00EF063B" w:rsidP="00EF063B"/>
                </w:txbxContent>
              </v:textbox>
            </v:rect>
            <v:shape id="_x0000_s1334" type="#_x0000_t80" style="position:absolute;left:3930;top:4410;width:1320;height:1380">
              <v:textbox style="mso-next-textbox:#_x0000_s1334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Інвестиції</w:t>
                    </w:r>
                    <w:proofErr w:type="spellEnd"/>
                  </w:p>
                </w:txbxContent>
              </v:textbox>
            </v:shape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_x0000_s1335" type="#_x0000_t79" style="position:absolute;left:5985;top:4890;width:1065;height:900">
              <v:textbox style="mso-next-textbox:#_x0000_s1335">
                <w:txbxContent>
                  <w:p w:rsidR="00EF063B" w:rsidRPr="001E72FB" w:rsidRDefault="00EF063B" w:rsidP="00EF063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Проекти</w:t>
                    </w:r>
                    <w:proofErr w:type="spellEnd"/>
                  </w:p>
                </w:txbxContent>
              </v:textbox>
            </v:shape>
            <v:shape id="_x0000_s1336" type="#_x0000_t80" style="position:absolute;left:7845;top:4410;width:1050;height:1380">
              <v:textbox style="mso-next-textbox:#_x0000_s1336">
                <w:txbxContent>
                  <w:p w:rsidR="00EF063B" w:rsidRPr="001E72FB" w:rsidRDefault="00EF063B" w:rsidP="00EF063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Кредити</w:t>
                    </w:r>
                    <w:proofErr w:type="spell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37" type="#_x0000_t32" style="position:absolute;left:2700;top:1965;width:0;height:4875" o:connectortype="straight">
              <v:stroke endarrow="block"/>
            </v:shape>
            <v:shape id="_x0000_s1338" type="#_x0000_t32" style="position:absolute;left:3180;top:3960;width:0;height:2880;flip:y" o:connectortype="straight"/>
            <v:shape id="_x0000_s1339" type="#_x0000_t32" style="position:absolute;left:3930;top:6960;width:5745;height:0" o:connectortype="straight"/>
            <v:shape id="_x0000_s1340" type="#_x0000_t32" style="position:absolute;left:9675;top:3960;width:0;height:3000;flip:y" o:connectortype="straight"/>
            <v:shape id="_x0000_s1341" type="#_x0000_t32" style="position:absolute;left:9390;top:3961;width:285;height:0;flip:x" o:connectortype="straight">
              <v:stroke endarrow="block"/>
            </v:shape>
            <v:shape id="_x0000_s1342" type="#_x0000_t32" style="position:absolute;left:10380;top:1965;width:0;height:4275" o:connectortype="straight"/>
            <v:shape id="_x0000_s1343" type="#_x0000_t80" style="position:absolute;left:9765;top:5790;width:1170;height:1560">
              <v:textbox style="mso-next-textbox:#_x0000_s1343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Фінансові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внески</w:t>
                    </w:r>
                    <w:proofErr w:type="spellEnd"/>
                  </w:p>
                </w:txbxContent>
              </v:textbox>
            </v:shape>
            <v:oval id="_x0000_s1344" style="position:absolute;left:4965;top:7170;width:1725;height:1320">
              <v:textbox style="mso-next-textbox:#_x0000_s1344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Науково-дослідні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інститути</w:t>
                    </w:r>
                    <w:proofErr w:type="spellEnd"/>
                  </w:p>
                </w:txbxContent>
              </v:textbox>
            </v:oval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_x0000_s1345" type="#_x0000_t78" style="position:absolute;left:6690;top:7350;width:2505;height:870">
              <v:textbox style="mso-next-textbox:#_x0000_s1345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Права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інтелектуальної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власності</w:t>
                    </w:r>
                    <w:proofErr w:type="spellEnd"/>
                  </w:p>
                </w:txbxContent>
              </v:textbox>
            </v:shape>
            <v:shape id="_x0000_s1346" type="#_x0000_t32" style="position:absolute;left:1800;top:1650;width:0;height:6840" o:connectortype="straight"/>
            <v:shape id="_x0000_s1347" type="#_x0000_t32" style="position:absolute;left:1800;top:8490;width:3990;height:0" o:connectortype="straight"/>
          </v:group>
        </w:pic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63B" w:rsidRPr="00EF063B" w:rsidRDefault="00EF063B" w:rsidP="00EF0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 w:eastAsia="ru-RU"/>
        </w:rPr>
      </w:pPr>
    </w:p>
    <w:p w:rsidR="00EF063B" w:rsidRPr="00EF063B" w:rsidRDefault="00EF063B" w:rsidP="00EF0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 w:eastAsia="ru-RU"/>
        </w:rPr>
      </w:pPr>
    </w:p>
    <w:p w:rsidR="00EF063B" w:rsidRPr="00EF063B" w:rsidRDefault="00EF063B" w:rsidP="00EF0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 w:eastAsia="ru-RU"/>
        </w:rPr>
      </w:pPr>
    </w:p>
    <w:p w:rsidR="00EF063B" w:rsidRPr="00EF063B" w:rsidRDefault="00EF063B" w:rsidP="00EF0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before="150" w:after="225" w:line="405" w:lineRule="atLeast"/>
        <w:jc w:val="both"/>
        <w:rPr>
          <w:rFonts w:ascii="Arial" w:eastAsia="Times New Roman" w:hAnsi="Arial" w:cs="Arial"/>
          <w:color w:val="646464"/>
          <w:sz w:val="27"/>
          <w:szCs w:val="27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before="150" w:after="225" w:line="405" w:lineRule="atLeast"/>
        <w:jc w:val="both"/>
        <w:rPr>
          <w:rFonts w:ascii="Arial" w:eastAsia="Times New Roman" w:hAnsi="Arial" w:cs="Arial"/>
          <w:color w:val="646464"/>
          <w:sz w:val="27"/>
          <w:szCs w:val="27"/>
          <w:lang w:val="uk-UA" w:eastAsia="ru-RU"/>
        </w:rPr>
      </w:pPr>
      <w:r w:rsidRPr="00EF063B">
        <w:rPr>
          <w:rFonts w:ascii="Arial" w:eastAsia="Times New Roman" w:hAnsi="Arial" w:cs="Arial"/>
          <w:noProof/>
          <w:color w:val="646464"/>
          <w:sz w:val="27"/>
          <w:szCs w:val="27"/>
          <w:lang w:eastAsia="ru-RU"/>
        </w:rPr>
        <w:pict>
          <v:shape id="_x0000_s1320" type="#_x0000_t32" style="position:absolute;left:0;text-align:left;margin-left:73.95pt;margin-top:8pt;width:17.25pt;height:0;z-index:251664384" o:connectortype="straight">
            <v:stroke endarrow="block"/>
          </v:shape>
        </w:pict>
      </w:r>
    </w:p>
    <w:p w:rsidR="00EF063B" w:rsidRPr="00EF063B" w:rsidRDefault="00EF063B" w:rsidP="00EF063B">
      <w:pPr>
        <w:shd w:val="clear" w:color="auto" w:fill="FDFEFF"/>
        <w:spacing w:before="150" w:after="225" w:line="405" w:lineRule="atLeast"/>
        <w:jc w:val="both"/>
        <w:rPr>
          <w:rFonts w:ascii="Arial" w:eastAsia="Times New Roman" w:hAnsi="Arial" w:cs="Arial"/>
          <w:color w:val="646464"/>
          <w:sz w:val="27"/>
          <w:szCs w:val="27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before="150" w:after="225" w:line="405" w:lineRule="atLeast"/>
        <w:jc w:val="both"/>
        <w:rPr>
          <w:rFonts w:ascii="Arial" w:eastAsia="Times New Roman" w:hAnsi="Arial" w:cs="Arial"/>
          <w:color w:val="646464"/>
          <w:sz w:val="27"/>
          <w:szCs w:val="27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DFE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Рис. </w:t>
      </w:r>
      <w:r w:rsidR="00932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Загальна схема взаємодії суб’єктів за «Програмою спільного фінансування розвитку локальних інноваційних центрів»*</w:t>
      </w:r>
    </w:p>
    <w:p w:rsidR="00EF063B" w:rsidRPr="00EF063B" w:rsidRDefault="00EF063B" w:rsidP="00EF063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F063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*Джерело: розроблено автором </w:t>
      </w:r>
    </w:p>
    <w:p w:rsidR="00EF063B" w:rsidRPr="00EF063B" w:rsidRDefault="00EF063B" w:rsidP="00EF063B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Перевагами цього механізму є: по-перше, для бізнесу – пряма державна підтримка інновацій, можливість інвестування під гарантії держави; по-друге, для держави – зниження бюджетних витрат за рахунок залучених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коштів в сферу інноваційної діяльності, підвищення інноваційної активності пріоритетних галузей економіки, розподіл інноваційних ризиків.</w:t>
      </w:r>
    </w:p>
    <w:p w:rsidR="00EF063B" w:rsidRPr="00EF063B" w:rsidRDefault="00EF063B" w:rsidP="009328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«Програма співпраці «університет – локальні інноваційні центри» має за мету подолання розриву між освітою та впровадженням отриманих знань у створення інновацій</w:t>
      </w:r>
      <w:r w:rsidR="0093280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межах даної програми ключовими є дві базові програми: програми спільних дослідницьких центрів «університет – промисловість» і програма створення молодіжних інноваційних центрів.</w:t>
      </w:r>
      <w:r w:rsidRPr="00EF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створенні першої програми  як прототип доцільно взяти досвід США.  Поряд із стратегічними бізнес-альянсами протягом останніх 30 років у США набули активного розвитку </w:t>
      </w:r>
      <w:r w:rsidRPr="00EF063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партнерські взаємовідносини «університет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EF063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промисловість».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в таких випадках здійснюється на контрактних засадах, а власником результатів досліджень є </w:t>
      </w:r>
      <w:proofErr w:type="spellStart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фінансуюча</w:t>
      </w:r>
      <w:proofErr w:type="spellEnd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компанія. Система «університет — промисловість» стала настільки розповсюдженою, що в багатьох навчальних закладах було створено спеціальні центри (понад 1000 по всій території США),  які обслуговують такі проекти  [</w:t>
      </w:r>
      <w:r w:rsidR="00530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60]. На нашу думку, стимулювання такої співпраці сприяє прискоренню виникнення різних видів локальних інноваційних центрів шляхом поєднання інноваційного потенціалу освіти і комерційного прогресу, а значить, і досягненню мети створення </w:t>
      </w:r>
      <w:proofErr w:type="spellStart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</w:t>
      </w:r>
      <w:proofErr w:type="spellEnd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комерціалізації інновацій.</w:t>
      </w:r>
    </w:p>
    <w:p w:rsidR="002240E6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спільних дослідницьких центрів «університет – промисловість» передбачає два варіанти механізмів фінансування таких центрів. Перший варіант ґрунтується на формуванні дослідницького центру у формі корпорації, до складу якої можуть входити університети, приватні інвестори, місцева влада,  інші спонсори і зацікавлені особи. Кожний корпоративний член Центру вносить до спільного фонду річний фіксований членський внесок, що спрямовується на фінансування фундаментальних досліджень, тематика яких визначається Радою Центру. </w:t>
      </w:r>
    </w:p>
    <w:p w:rsidR="00EF063B" w:rsidRPr="00EF063B" w:rsidRDefault="00EF063B" w:rsidP="00EF0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Наступним етапом є впровадження наукових розробок у виробництво шляхом створення компанії spin-</w:t>
      </w:r>
      <w:proofErr w:type="spellStart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off</w:t>
      </w:r>
      <w:proofErr w:type="spellEnd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разі успішного її функціонування Фонд центру</w:t>
      </w: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повинен розподілити отримані доходи між учасниками. </w:t>
      </w:r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Університетам та інститутам необхідно звітуватися про надходження від ліцензування, інвестицій від зовнішніх інвесторів у дослідження і розробки та компанії spin-</w:t>
      </w:r>
      <w:proofErr w:type="spellStart"/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off</w:t>
      </w:r>
      <w:proofErr w:type="spellEnd"/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, про надходження від діяльності spin-</w:t>
      </w:r>
      <w:proofErr w:type="spellStart"/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off</w:t>
      </w:r>
      <w:proofErr w:type="spellEnd"/>
      <w:r w:rsidRPr="00EF063B">
        <w:rPr>
          <w:rFonts w:ascii="Times New Roman" w:hAnsi="Times New Roman" w:cs="Times New Roman"/>
          <w:sz w:val="28"/>
          <w:szCs w:val="28"/>
          <w:lang w:val="uk-UA" w:eastAsia="ru-RU"/>
        </w:rPr>
        <w:t>, про кількість створених робочих місць або розроблені продукти соціального призначення перед Радою Центру.</w:t>
      </w:r>
      <w:r w:rsidRPr="00EF0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Базова схема механізму функціонування Дослідницького центру «університет – промисловість» у формі корпорації представлена на рис. </w:t>
      </w:r>
      <w:r w:rsidR="00932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group id="_x0000_s1298" style="position:absolute;left:0;text-align:left;margin-left:77.7pt;margin-top:-5.8pt;width:367.5pt;height:280.5pt;z-index:251663360" coordorigin="3285,7275" coordsize="7350,5610">
            <v:rect id="_x0000_s1299" style="position:absolute;left:3450;top:7275;width:6300;height:525">
              <v:textbox style="mso-next-textbox:#_x0000_s1299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Університет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приватні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інвестори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виробничі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компанії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rect>
            <v:shape id="_x0000_s1300" type="#_x0000_t80" style="position:absolute;left:3450;top:7800;width:1620;height:885">
              <v:textbox style="mso-next-textbox:#_x0000_s1300">
                <w:txbxContent>
                  <w:p w:rsidR="00EF063B" w:rsidRPr="001E72FB" w:rsidRDefault="00EF063B" w:rsidP="00EF063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повноваження</w:t>
                    </w:r>
                    <w:proofErr w:type="spellEnd"/>
                  </w:p>
                </w:txbxContent>
              </v:textbox>
            </v:shape>
            <v:shape id="_x0000_s1301" type="#_x0000_t80" style="position:absolute;left:6015;top:7800;width:1620;height:885">
              <v:textbox style="mso-next-textbox:#_x0000_s1301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членські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внески</w:t>
                    </w:r>
                    <w:proofErr w:type="spellEnd"/>
                  </w:p>
                </w:txbxContent>
              </v:textbox>
            </v:shape>
            <v:rect id="_x0000_s1302" style="position:absolute;left:3285;top:8685;width:1980;height:990">
              <v:textbox style="mso-next-textbox:#_x0000_s1302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Рада </w:t>
                    </w:r>
                    <w:proofErr w:type="spellStart"/>
                    <w:proofErr w:type="gram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Досл</w:t>
                    </w:r>
                    <w:proofErr w:type="gram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ідницького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Центру</w:t>
                    </w:r>
                  </w:p>
                </w:txbxContent>
              </v:textbox>
            </v:rect>
            <v:rect id="_x0000_s1303" style="position:absolute;left:5805;top:8685;width:2010;height:990">
              <v:textbox style="mso-next-textbox:#_x0000_s1303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Фонд </w:t>
                    </w:r>
                    <w:proofErr w:type="spellStart"/>
                    <w:proofErr w:type="gram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Досл</w:t>
                    </w:r>
                    <w:proofErr w:type="gram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ідницького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Центру</w:t>
                    </w:r>
                  </w:p>
                </w:txbxContent>
              </v:textbox>
            </v:rect>
            <v:shape id="_x0000_s1304" type="#_x0000_t80" style="position:absolute;left:6015;top:9675;width:1620;height:885">
              <v:textbox style="mso-next-textbox:#_x0000_s1304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фінансові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ресурси</w:t>
                    </w:r>
                    <w:proofErr w:type="spellEnd"/>
                  </w:p>
                </w:txbxContent>
              </v:textbox>
            </v:shape>
            <v:rect id="_x0000_s1305" style="position:absolute;left:5805;top:10560;width:2010;height:720">
              <v:textbox style="mso-next-textbox:#_x0000_s1305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Фундаментальні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proofErr w:type="gramStart"/>
                    <w:r w:rsidRPr="001E72FB">
                      <w:rPr>
                        <w:rFonts w:ascii="Times New Roman" w:hAnsi="Times New Roman" w:cs="Times New Roman"/>
                      </w:rPr>
                      <w:t>досл</w:t>
                    </w:r>
                    <w:proofErr w:type="gramEnd"/>
                    <w:r w:rsidRPr="001E72FB">
                      <w:rPr>
                        <w:rFonts w:ascii="Times New Roman" w:hAnsi="Times New Roman" w:cs="Times New Roman"/>
                      </w:rPr>
                      <w:t>ідження</w:t>
                    </w:r>
                    <w:proofErr w:type="spellEnd"/>
                  </w:p>
                </w:txbxContent>
              </v:textbox>
            </v:rect>
            <v:shape id="_x0000_s1306" type="#_x0000_t78" style="position:absolute;left:3705;top:10560;width:2100;height:750">
              <v:textbox style="mso-next-textbox:#_x0000_s1306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тематика</w:t>
                    </w:r>
                  </w:p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досл</w:t>
                    </w:r>
                    <w:proofErr w:type="gram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іджень</w:t>
                    </w:r>
                    <w:proofErr w:type="spellEnd"/>
                  </w:p>
                </w:txbxContent>
              </v:textbox>
            </v:shape>
            <v:shape id="_x0000_s1307" type="#_x0000_t32" style="position:absolute;left:4260;top:9675;width:15;height:885" o:connectortype="straight">
              <v:stroke endarrow="block"/>
            </v:shape>
            <v:shape id="_x0000_s1308" type="#_x0000_t32" style="position:absolute;left:7815;top:10935;width:390;height:0" o:connectortype="straight"/>
            <v:rect id="_x0000_s1309" style="position:absolute;left:8205;top:10695;width:1650;height:585">
              <v:textbox style="mso-next-textbox:#_x0000_s1309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результати</w:t>
                    </w:r>
                    <w:proofErr w:type="spellEnd"/>
                  </w:p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досл</w:t>
                    </w:r>
                    <w:proofErr w:type="gram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іджень</w:t>
                    </w:r>
                    <w:proofErr w:type="spellEnd"/>
                  </w:p>
                </w:txbxContent>
              </v:textbox>
            </v:rect>
            <v:shape id="_x0000_s1310" type="#_x0000_t32" style="position:absolute;left:9855;top:10935;width:195;height:0" o:connectortype="straight"/>
            <v:shape id="_x0000_s1311" type="#_x0000_t32" style="position:absolute;left:10050;top:7560;width:0;height:3375;flip:y" o:connectortype="straight"/>
            <v:shape id="_x0000_s1312" type="#_x0000_t32" style="position:absolute;left:9750;top:7560;width:300;height:0;flip:x" o:connectortype="straight">
              <v:stroke endarrow="block"/>
            </v:shape>
            <v:shape id="_x0000_s1313" type="#_x0000_t80" style="position:absolute;left:6015;top:11280;width:1710;height:885">
              <v:textbox style="mso-next-textbox:#_x0000_s1313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комерціалізація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розробок</w:t>
                    </w:r>
                    <w:proofErr w:type="spellEnd"/>
                  </w:p>
                </w:txbxContent>
              </v:textbox>
            </v:shape>
            <v:rect id="_x0000_s1314" style="position:absolute;left:5805;top:12165;width:2010;height:720">
              <v:textbox style="mso-next-textbox:#_x0000_s1314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Компанія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EF063B" w:rsidRPr="001E72FB" w:rsidRDefault="00EF063B" w:rsidP="00EF063B">
                    <w:pPr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proofErr w:type="gramStart"/>
                    <w:r w:rsidRPr="001E72FB">
                      <w:rPr>
                        <w:rFonts w:ascii="Times New Roman" w:hAnsi="Times New Roman" w:cs="Times New Roman"/>
                        <w:lang w:val="en-US"/>
                      </w:rPr>
                      <w:t>spin-off</w:t>
                    </w:r>
                    <w:proofErr w:type="gramEnd"/>
                  </w:p>
                </w:txbxContent>
              </v:textbox>
            </v:rect>
            <v:shape id="_x0000_s1315" type="#_x0000_t32" style="position:absolute;left:7815;top:12540;width:870;height:0" o:connectortype="straight"/>
            <v:rect id="_x0000_s1316" style="position:absolute;left:8685;top:12300;width:1650;height:585">
              <v:textbox style="mso-next-textbox:#_x0000_s1316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Доходи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компанії</w:t>
                    </w:r>
                    <w:proofErr w:type="spellEnd"/>
                  </w:p>
                </w:txbxContent>
              </v:textbox>
            </v:rect>
            <v:shape id="_x0000_s1317" type="#_x0000_t32" style="position:absolute;left:10335;top:12540;width:300;height:0" o:connectortype="straight"/>
            <v:shape id="_x0000_s1318" type="#_x0000_t32" style="position:absolute;left:10635;top:9105;width:0;height:3435;flip:y" o:connectortype="straight"/>
            <v:shape id="_x0000_s1319" type="#_x0000_t32" style="position:absolute;left:7815;top:9105;width:2820;height:0;flip:x" o:connectortype="straight">
              <v:stroke endarrow="block"/>
            </v:shape>
          </v:group>
        </w:pict>
      </w: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EF063B" w:rsidRPr="00EF063B" w:rsidRDefault="00EF063B" w:rsidP="00EF06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EF063B" w:rsidRPr="00EF063B" w:rsidRDefault="00EF063B" w:rsidP="00EF06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EF063B" w:rsidRPr="00EF063B" w:rsidRDefault="00EF063B" w:rsidP="00EF063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lang w:val="uk-UA" w:eastAsia="ru-RU"/>
        </w:rPr>
      </w:pPr>
    </w:p>
    <w:p w:rsidR="00EF063B" w:rsidRPr="00EF063B" w:rsidRDefault="00EF063B" w:rsidP="00EF063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63B" w:rsidRPr="00EF063B" w:rsidRDefault="00EF063B" w:rsidP="00EF063B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Рис. </w:t>
      </w:r>
      <w:r w:rsidR="00932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Базова схема механізму функціонування Дослідницького центру «університет – промисловість» у формі корпорації*</w:t>
      </w:r>
    </w:p>
    <w:p w:rsidR="00EF063B" w:rsidRPr="00EF063B" w:rsidRDefault="00EF063B" w:rsidP="00EF063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F063B">
        <w:rPr>
          <w:rFonts w:ascii="Times New Roman" w:eastAsia="Calibri" w:hAnsi="Times New Roman" w:cs="Times New Roman"/>
          <w:i/>
          <w:sz w:val="24"/>
          <w:szCs w:val="24"/>
          <w:lang w:val="uk-UA"/>
        </w:rPr>
        <w:t>*Джерело: розроблено автором</w:t>
      </w:r>
    </w:p>
    <w:p w:rsid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Другий варіант передбачає участь у фінансуванні інноваційної небанківської фінансово-кредитної установи «Фонд підтримки малого інноваційного бізнесу», що був створений у 2011 році [</w:t>
      </w:r>
      <w:r w:rsidR="00530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 за наступним  механізмом: Фонд підтримки малого інноваційного бізнесу надає відносно невелику фінансову підтримку центрам — 20%. Водночас 80% надходить з інших джерел — переважно від промислових компаній. Якщо центр може довести свою спроможність виконувати серйозні дослідження,</w:t>
      </w:r>
      <w:r w:rsidRPr="00EF063B">
        <w:rPr>
          <w:rFonts w:ascii="Times New Roman" w:eastAsia="Times New Roman" w:hAnsi="Times New Roman" w:cs="Times New Roman"/>
          <w:color w:val="4F81BD"/>
          <w:sz w:val="24"/>
          <w:szCs w:val="24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підтримки малого інноваційного бізнесу</w:t>
      </w:r>
      <w:r w:rsidRPr="00EF063B">
        <w:rPr>
          <w:rFonts w:ascii="Times New Roman" w:eastAsia="Times New Roman" w:hAnsi="Times New Roman" w:cs="Times New Roman"/>
          <w:color w:val="4F81BD"/>
          <w:sz w:val="24"/>
          <w:szCs w:val="24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надає грант на п</w:t>
      </w:r>
      <w:r w:rsidR="00932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років, який може бути продовжений ще на п</w:t>
      </w:r>
      <w:r w:rsidR="00932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років,  але на меншу суму. Метою є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надання сприяння започаткуванню роботи центру, а також підтримка на етапі становлення, але надалі центри мають утримуватися за рахунок університетів і промисловості. Партнерство сторін у центрі формалізується через прийняття спільних рішень Дорадчою промисловою радою центру, представниками університету і бізнесу щодо проведення науково-дослідних робіт. Індикатором успіху, за критерієм Фонду, має стати обсяг дослідницьких робіт, що здійснюються центром за контрактами з промисловістю (рис. </w:t>
      </w:r>
      <w:r w:rsidR="00932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F063B" w:rsidRPr="00EF063B" w:rsidRDefault="005303DD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348" style="position:absolute;left:0;text-align:left;margin-left:-2.55pt;margin-top:-4.6pt;width:455.25pt;height:220.2pt;z-index:251666432" coordorigin="1830,9186" coordsize="9105,4404">
            <v:rect id="_x0000_s1349" style="position:absolute;left:1830;top:10845;width:1875;height:1590">
              <v:textbox style="mso-next-textbox:#_x0000_s1349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Фонд </w:t>
                    </w:r>
                    <w:proofErr w:type="spellStart"/>
                    <w:proofErr w:type="gram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</w:t>
                    </w:r>
                    <w:proofErr w:type="gram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ідтримки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малого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інноваційного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бізнесу</w:t>
                    </w:r>
                    <w:proofErr w:type="spellEnd"/>
                  </w:p>
                </w:txbxContent>
              </v:textbox>
            </v:rect>
            <v:shape id="_x0000_s1350" type="#_x0000_t78" style="position:absolute;left:3705;top:11205;width:1995;height:870">
              <v:textbox style="mso-next-textbox:#_x0000_s1350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Початкова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фінансова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допомога</w:t>
                    </w:r>
                    <w:proofErr w:type="spellEnd"/>
                  </w:p>
                </w:txbxContent>
              </v:textbox>
            </v:shape>
            <v:rect id="_x0000_s1351" style="position:absolute;left:5700;top:9186;width:5235;height:4404"/>
            <v:rect id="_x0000_s1352" style="position:absolute;left:7215;top:9291;width:3465;height:504">
              <v:textbox style="mso-next-textbox:#_x0000_s1352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Університет</w:t>
                    </w:r>
                    <w:proofErr w:type="spellEnd"/>
                  </w:p>
                </w:txbxContent>
              </v:textbox>
            </v:rect>
            <v:shape id="_x0000_s1353" type="#_x0000_t80" style="position:absolute;left:5865;top:9291;width:1350;height:1914">
              <v:textbox style="mso-next-textbox:#_x0000_s1353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наукові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ідеї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студентів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викладачі</w:t>
                    </w:r>
                    <w:proofErr w:type="gramStart"/>
                    <w:r w:rsidRPr="001E72FB">
                      <w:rPr>
                        <w:rFonts w:ascii="Times New Roman" w:hAnsi="Times New Roman" w:cs="Times New Roman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shape>
            <v:rect id="_x0000_s1354" style="position:absolute;left:5700;top:11205;width:1905;height:765">
              <v:textbox style="mso-next-textbox:#_x0000_s1354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Досл</w:t>
                    </w:r>
                    <w:proofErr w:type="gram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ідницький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центр</w:t>
                    </w:r>
                  </w:p>
                </w:txbxContent>
              </v:textbox>
            </v:rect>
            <v:rect id="_x0000_s1355" style="position:absolute;left:9315;top:11076;width:1545;height:1065">
              <v:textbox style="mso-next-textbox:#_x0000_s1355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Дорадча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промислова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</w:rPr>
                      <w:t xml:space="preserve"> рада центру</w:t>
                    </w:r>
                  </w:p>
                </w:txbxContent>
              </v:textbox>
            </v:rect>
            <v:shape id="_x0000_s1356" type="#_x0000_t80" style="position:absolute;left:9120;top:9795;width:1560;height:1281">
              <v:textbox style="mso-next-textbox:#_x0000_s1356">
                <w:txbxContent>
                  <w:p w:rsidR="00EF063B" w:rsidRPr="001E72FB" w:rsidRDefault="00EF063B" w:rsidP="00EF063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повноваження</w:t>
                    </w:r>
                    <w:proofErr w:type="spellEnd"/>
                  </w:p>
                </w:txbxContent>
              </v:textbox>
            </v:shape>
            <v:rect id="_x0000_s1357" style="position:absolute;left:5790;top:13050;width:3330;height:429">
              <v:textbox style="mso-next-textbox:#_x0000_s1357">
                <w:txbxContent>
                  <w:p w:rsidR="00EF063B" w:rsidRPr="001E72FB" w:rsidRDefault="00EF063B" w:rsidP="00EF063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Виробничі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компанії</w:t>
                    </w:r>
                    <w:proofErr w:type="spellEnd"/>
                  </w:p>
                </w:txbxContent>
              </v:textbox>
            </v:rect>
            <v:shape id="_x0000_s1358" type="#_x0000_t79" style="position:absolute;left:9120;top:12165;width:1740;height:1314" adj="7897">
              <v:textbox style="mso-next-textbox:#_x0000_s1358">
                <w:txbxContent>
                  <w:p w:rsidR="00EF063B" w:rsidRPr="001E72FB" w:rsidRDefault="00EF063B" w:rsidP="00EF063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</w:rPr>
                      <w:t>повноваження</w:t>
                    </w:r>
                    <w:proofErr w:type="spellEnd"/>
                  </w:p>
                  <w:p w:rsidR="00EF063B" w:rsidRDefault="00EF063B" w:rsidP="00EF063B"/>
                </w:txbxContent>
              </v:textbox>
            </v:shape>
            <v:shapetype id="_x0000_t77" coordsize="21600,21600" o:spt="77" adj="7200,5400,3600,8100" path="m@0,l@0@3@2@3@2@1,,10800@2@4@2@5@0@5@0,21600,21600,21600,2160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@7,0;0,10800;@7,21600;21600,10800" o:connectangles="270,180,90,0" textboxrect="@0,0,21600,21600"/>
              <v:handles>
                <v:h position="#0,topLeft" xrange="@2,21600"/>
                <v:h position="topLeft,#1" yrange="0,@3"/>
                <v:h position="#2,#3" xrange="0,@0" yrange="@1,10800"/>
              </v:handles>
            </v:shapetype>
            <v:shape id="_x0000_s1359" type="#_x0000_t77" style="position:absolute;left:7605;top:11076;width:1710;height:1065">
              <v:textbox style="mso-next-textbox:#_x0000_s1359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</w:t>
                    </w:r>
                    <w:proofErr w:type="gram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ішення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щодо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проведе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</w:t>
                    </w: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ння</w:t>
                    </w:r>
                    <w:proofErr w:type="spellEnd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НДР</w:t>
                    </w:r>
                  </w:p>
                </w:txbxContent>
              </v:textbox>
            </v:shape>
            <v:shape id="_x0000_s1360" type="#_x0000_t79" style="position:absolute;left:5790;top:11970;width:1140;height:1080">
              <v:textbox style="mso-next-textbox:#_x0000_s1360">
                <w:txbxContent>
                  <w:p w:rsidR="00EF063B" w:rsidRPr="001E72FB" w:rsidRDefault="00EF063B" w:rsidP="001E72F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Фінансу-вання</w:t>
                    </w:r>
                    <w:proofErr w:type="spellEnd"/>
                  </w:p>
                </w:txbxContent>
              </v:textbox>
            </v:shape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361" type="#_x0000_t70" style="position:absolute;left:6930;top:11970;width:870;height:1080">
              <v:textbox style="layout-flow:vertical-ideographic;mso-next-textbox:#_x0000_s1361">
                <w:txbxContent>
                  <w:p w:rsidR="00EF063B" w:rsidRPr="00DA1670" w:rsidRDefault="00EF063B" w:rsidP="00EF063B">
                    <w:proofErr w:type="spellStart"/>
                    <w:r w:rsidRPr="001E72F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Контракти</w:t>
                    </w:r>
                    <w:r>
                      <w:t>и</w:t>
                    </w:r>
                    <w:proofErr w:type="spellEnd"/>
                  </w:p>
                </w:txbxContent>
              </v:textbox>
            </v:shape>
          </v:group>
        </w:pict>
      </w: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3DD" w:rsidRDefault="005303DD" w:rsidP="00EF063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3DD" w:rsidRDefault="005303DD" w:rsidP="00EF063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Рис. </w:t>
      </w:r>
      <w:r w:rsidR="00932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Базова схема механізму функціонування  Дослідницького центру «університет – промисловість» за допомогою Фонду підтримки малого інноваційного бізнесу*</w:t>
      </w:r>
    </w:p>
    <w:p w:rsidR="00EF063B" w:rsidRPr="00EF063B" w:rsidRDefault="00EF063B" w:rsidP="00EF06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*Джерело: розроблено автором </w:t>
      </w:r>
    </w:p>
    <w:p w:rsidR="00EF063B" w:rsidRPr="00EF063B" w:rsidRDefault="00EF063B" w:rsidP="00AC3B2E">
      <w:pPr>
        <w:tabs>
          <w:tab w:val="num" w:pos="0"/>
          <w:tab w:val="num" w:pos="142"/>
          <w:tab w:val="num" w:pos="4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визначено, що важливим завданням для держави є пошук перспективних ідей в університетах і дослідницьких центрах, забезпечення інвестиційного фінансування на ранніх стадіях розвитку компаній, фінансування розробки бізнес-планів і науково-дослідної діяльності, розширення міжнародного співробітництва дослідницьких організацій. Для забезпечення фінансування можуть бути застосовані наступні механізми:</w:t>
      </w:r>
      <w:r w:rsidR="002C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проектів на рівні до 30%, за допомогою прямого субсидування;</w:t>
      </w:r>
      <w:r w:rsidR="002C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виділення грантів компанії до половини витрат, якщо вона проводить дослідження в кооперації з університетом, а не тільки розробку нового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продукту;</w:t>
      </w:r>
      <w:r w:rsidR="002C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виділення ризикових позик компанії до 60-70% від витрат на розробку нового продукту або процесу. Компанія зобов</w:t>
      </w:r>
      <w:r w:rsidR="00932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язана повернути позику, якщо розробка успішно була виведена на ринок;</w:t>
      </w:r>
      <w:r w:rsidR="002C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фінансування проектів терміном до двох років, а в разі сприятливих результатів розробки нового продукту продовжується ще на 2-3 роки у вигляді ризикового позики.</w:t>
      </w:r>
      <w:r w:rsidR="00AC3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заходи можуть бути покладені на Фонд підтримки малого інноваційного бізнесу, оскільки це не суперечить його статуту і меті створення.</w:t>
      </w:r>
    </w:p>
    <w:p w:rsidR="009B1168" w:rsidRPr="00932807" w:rsidRDefault="009B1168" w:rsidP="004C1527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1527">
        <w:rPr>
          <w:b/>
          <w:bCs/>
          <w:sz w:val="28"/>
          <w:szCs w:val="28"/>
          <w:lang w:val="uk-UA"/>
        </w:rPr>
        <w:t xml:space="preserve">Висновки і пропозиції. </w:t>
      </w:r>
      <w:r w:rsidR="001E72FB">
        <w:rPr>
          <w:b/>
          <w:bCs/>
          <w:sz w:val="28"/>
          <w:szCs w:val="28"/>
          <w:lang w:val="uk-UA"/>
        </w:rPr>
        <w:t xml:space="preserve"> </w:t>
      </w:r>
      <w:r w:rsidR="00932807" w:rsidRPr="00932807">
        <w:rPr>
          <w:bCs/>
          <w:sz w:val="28"/>
          <w:szCs w:val="28"/>
          <w:lang w:val="uk-UA"/>
        </w:rPr>
        <w:t xml:space="preserve">Отже, запропоновані заходи з удосконалення </w:t>
      </w:r>
      <w:r w:rsidR="00932807">
        <w:rPr>
          <w:bCs/>
          <w:sz w:val="28"/>
          <w:szCs w:val="28"/>
          <w:lang w:val="uk-UA"/>
        </w:rPr>
        <w:t>фінансової</w:t>
      </w:r>
      <w:r w:rsidR="00932807" w:rsidRPr="00932807">
        <w:rPr>
          <w:bCs/>
          <w:sz w:val="28"/>
          <w:szCs w:val="28"/>
          <w:lang w:val="uk-UA"/>
        </w:rPr>
        <w:t xml:space="preserve"> підтримки локальних інноваційних центрів реалізуються за допомогою двох державних програм</w:t>
      </w:r>
      <w:r w:rsidR="00AC3B2E">
        <w:rPr>
          <w:bCs/>
          <w:sz w:val="28"/>
          <w:szCs w:val="28"/>
          <w:lang w:val="uk-UA"/>
        </w:rPr>
        <w:t>.</w:t>
      </w:r>
      <w:r w:rsidR="00932807" w:rsidRPr="00932807">
        <w:rPr>
          <w:bCs/>
          <w:sz w:val="28"/>
          <w:szCs w:val="28"/>
          <w:lang w:val="uk-UA"/>
        </w:rPr>
        <w:t xml:space="preserve"> Ці програми передбачають поєднання в єдину систему взаємодії локальні інноваційні центри, фінансово-кредитні установи, промислові підприємства, вищі навчальні заклади і приватних інвесторів за допомогою непрямих інструментів державного впливу. Реалізація цих програм забезпечить перехід виробництва на новий інноваційний рівень, сприятиме позитивним зрушенням у галузі освіти, підвищить зайнятість населення і як наслідок активізує розвиток національної економіки в цілому.</w:t>
      </w:r>
    </w:p>
    <w:p w:rsidR="009B1168" w:rsidRPr="009B1168" w:rsidRDefault="009B1168" w:rsidP="009328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B1168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  <w:r w:rsidRPr="009B116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2807" w:rsidRPr="00932807" w:rsidRDefault="00932807" w:rsidP="0093280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9321B">
        <w:rPr>
          <w:rFonts w:ascii="Times New Roman" w:hAnsi="Times New Roman"/>
          <w:sz w:val="28"/>
          <w:szCs w:val="28"/>
        </w:rPr>
        <w:t>Мельниченко О.</w:t>
      </w:r>
      <w:r w:rsidRPr="00B93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21B">
        <w:rPr>
          <w:rFonts w:ascii="Times New Roman" w:hAnsi="Times New Roman"/>
          <w:sz w:val="28"/>
          <w:szCs w:val="28"/>
        </w:rPr>
        <w:t>А. Інноваційний розвиток національної економіки:</w:t>
      </w:r>
      <w:r w:rsidRPr="00B93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21B">
        <w:rPr>
          <w:rFonts w:ascii="Times New Roman" w:hAnsi="Times New Roman"/>
          <w:sz w:val="28"/>
          <w:szCs w:val="28"/>
        </w:rPr>
        <w:t xml:space="preserve">виклики для держави, бізнесу та населення / О.А. Мельниченко // </w:t>
      </w:r>
      <w:r>
        <w:rPr>
          <w:rFonts w:ascii="Times New Roman" w:hAnsi="Times New Roman"/>
          <w:sz w:val="28"/>
          <w:szCs w:val="28"/>
        </w:rPr>
        <w:t xml:space="preserve">Державне будівництво. – 2012. – </w:t>
      </w:r>
      <w:r w:rsidRPr="00B9321B">
        <w:rPr>
          <w:rFonts w:ascii="Times New Roman" w:hAnsi="Times New Roman"/>
          <w:sz w:val="28"/>
          <w:szCs w:val="28"/>
        </w:rPr>
        <w:t>№2. – С.</w:t>
      </w:r>
      <w:r w:rsidRPr="00B93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21B">
        <w:rPr>
          <w:rFonts w:ascii="Times New Roman" w:hAnsi="Times New Roman"/>
          <w:sz w:val="28"/>
          <w:szCs w:val="28"/>
        </w:rPr>
        <w:t>308-317.</w:t>
      </w:r>
    </w:p>
    <w:p w:rsidR="005303DD" w:rsidRPr="00B9321B" w:rsidRDefault="005303DD" w:rsidP="005303D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9321B">
        <w:rPr>
          <w:rFonts w:ascii="Times New Roman" w:hAnsi="Times New Roman"/>
          <w:sz w:val="28"/>
          <w:szCs w:val="28"/>
        </w:rPr>
        <w:t xml:space="preserve">Денисюк В. А. Комерціалізація результатів наукових досліджень: європейський досвід та стан в Україні /  В.А. Денисюк // Актуальні проблеми науково-технологічної та інноваційної політики в контексті формування загальноєвропейського наукового простору: досвід і перспективи. </w:t>
      </w:r>
      <w:proofErr w:type="spellStart"/>
      <w:r w:rsidRPr="00B9321B">
        <w:rPr>
          <w:rFonts w:ascii="Times New Roman" w:hAnsi="Times New Roman"/>
          <w:sz w:val="28"/>
          <w:szCs w:val="28"/>
        </w:rPr>
        <w:t>Матер</w:t>
      </w:r>
      <w:proofErr w:type="spellEnd"/>
      <w:r w:rsidRPr="00B9321B">
        <w:rPr>
          <w:rFonts w:ascii="Times New Roman" w:hAnsi="Times New Roman"/>
          <w:sz w:val="28"/>
          <w:szCs w:val="28"/>
        </w:rPr>
        <w:t xml:space="preserve">. XXIII Київ. </w:t>
      </w:r>
      <w:proofErr w:type="spellStart"/>
      <w:r w:rsidRPr="00B9321B">
        <w:rPr>
          <w:rFonts w:ascii="Times New Roman" w:hAnsi="Times New Roman"/>
          <w:sz w:val="28"/>
          <w:szCs w:val="28"/>
        </w:rPr>
        <w:t>міжн</w:t>
      </w:r>
      <w:proofErr w:type="spellEnd"/>
      <w:r w:rsidRPr="00B932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9321B">
        <w:rPr>
          <w:rFonts w:ascii="Times New Roman" w:hAnsi="Times New Roman"/>
          <w:sz w:val="28"/>
          <w:szCs w:val="28"/>
        </w:rPr>
        <w:t>симп</w:t>
      </w:r>
      <w:proofErr w:type="spellEnd"/>
      <w:r w:rsidRPr="00B9321B">
        <w:rPr>
          <w:rFonts w:ascii="Times New Roman" w:hAnsi="Times New Roman"/>
          <w:sz w:val="28"/>
          <w:szCs w:val="28"/>
        </w:rPr>
        <w:t xml:space="preserve">. з </w:t>
      </w:r>
      <w:proofErr w:type="spellStart"/>
      <w:r w:rsidRPr="00B9321B">
        <w:rPr>
          <w:rFonts w:ascii="Times New Roman" w:hAnsi="Times New Roman"/>
          <w:sz w:val="28"/>
          <w:szCs w:val="28"/>
        </w:rPr>
        <w:t>науковозн</w:t>
      </w:r>
      <w:proofErr w:type="spellEnd"/>
      <w:r w:rsidRPr="00B9321B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B9321B">
        <w:rPr>
          <w:rFonts w:ascii="Times New Roman" w:hAnsi="Times New Roman"/>
          <w:sz w:val="28"/>
          <w:szCs w:val="28"/>
        </w:rPr>
        <w:t>н.-техн</w:t>
      </w:r>
      <w:proofErr w:type="spellEnd"/>
      <w:r w:rsidRPr="00B9321B">
        <w:rPr>
          <w:rFonts w:ascii="Times New Roman" w:hAnsi="Times New Roman"/>
          <w:sz w:val="28"/>
          <w:szCs w:val="28"/>
        </w:rPr>
        <w:t xml:space="preserve">. прогнозування., м. Київ,       16-17 червня 2010. – К.: </w:t>
      </w:r>
      <w:proofErr w:type="spellStart"/>
      <w:r w:rsidRPr="00B9321B">
        <w:rPr>
          <w:rFonts w:ascii="Times New Roman" w:hAnsi="Times New Roman"/>
          <w:sz w:val="28"/>
          <w:szCs w:val="28"/>
        </w:rPr>
        <w:t>Феникс</w:t>
      </w:r>
      <w:proofErr w:type="spellEnd"/>
      <w:r w:rsidRPr="00B9321B">
        <w:rPr>
          <w:rFonts w:ascii="Times New Roman" w:hAnsi="Times New Roman"/>
          <w:sz w:val="28"/>
          <w:szCs w:val="28"/>
        </w:rPr>
        <w:t>, 2010. – С. 66-76.</w:t>
      </w:r>
    </w:p>
    <w:p w:rsidR="005303DD" w:rsidRPr="00B9321B" w:rsidRDefault="005303DD" w:rsidP="005303D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proofErr w:type="spellStart"/>
      <w:r w:rsidRPr="00B9321B">
        <w:rPr>
          <w:rFonts w:ascii="Times New Roman" w:hAnsi="Times New Roman"/>
          <w:sz w:val="28"/>
          <w:szCs w:val="28"/>
        </w:rPr>
        <w:t>Мехеда</w:t>
      </w:r>
      <w:proofErr w:type="spellEnd"/>
      <w:r w:rsidRPr="00B9321B">
        <w:rPr>
          <w:rFonts w:ascii="Times New Roman" w:hAnsi="Times New Roman"/>
          <w:sz w:val="28"/>
          <w:szCs w:val="28"/>
        </w:rPr>
        <w:t xml:space="preserve"> Н.Г.  Особливості та проблеми формування інноваційної інфраструктури в Україні / Н.Г. </w:t>
      </w:r>
      <w:proofErr w:type="spellStart"/>
      <w:r w:rsidRPr="00B9321B">
        <w:rPr>
          <w:rFonts w:ascii="Times New Roman" w:hAnsi="Times New Roman"/>
          <w:sz w:val="28"/>
          <w:szCs w:val="28"/>
        </w:rPr>
        <w:t>Мехеда</w:t>
      </w:r>
      <w:proofErr w:type="spellEnd"/>
      <w:r w:rsidRPr="00B9321B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B9321B">
        <w:rPr>
          <w:rFonts w:ascii="Times New Roman" w:hAnsi="Times New Roman"/>
          <w:sz w:val="28"/>
          <w:szCs w:val="28"/>
        </w:rPr>
        <w:t>Завадська</w:t>
      </w:r>
      <w:proofErr w:type="spellEnd"/>
      <w:r w:rsidRPr="00B9321B">
        <w:rPr>
          <w:rFonts w:ascii="Times New Roman" w:hAnsi="Times New Roman"/>
          <w:sz w:val="28"/>
          <w:szCs w:val="28"/>
        </w:rPr>
        <w:t xml:space="preserve"> // Вісник Черкаського </w:t>
      </w:r>
      <w:r w:rsidRPr="00B9321B">
        <w:rPr>
          <w:rFonts w:ascii="Times New Roman" w:hAnsi="Times New Roman"/>
          <w:sz w:val="28"/>
          <w:szCs w:val="28"/>
        </w:rPr>
        <w:lastRenderedPageBreak/>
        <w:t>національного університету ім. Б</w:t>
      </w:r>
      <w:r>
        <w:rPr>
          <w:rFonts w:ascii="Times New Roman" w:hAnsi="Times New Roman"/>
          <w:sz w:val="28"/>
          <w:szCs w:val="28"/>
        </w:rPr>
        <w:t xml:space="preserve">огдана Хмельницького. – 2010. – №4. – </w:t>
      </w:r>
      <w:r w:rsidRPr="00B9321B">
        <w:rPr>
          <w:rFonts w:ascii="Times New Roman" w:hAnsi="Times New Roman"/>
          <w:sz w:val="28"/>
          <w:szCs w:val="28"/>
        </w:rPr>
        <w:t>С. 36-40.</w:t>
      </w:r>
    </w:p>
    <w:p w:rsidR="005303DD" w:rsidRPr="00B9321B" w:rsidRDefault="005303DD" w:rsidP="005303D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B9321B">
        <w:rPr>
          <w:rFonts w:ascii="Times New Roman" w:hAnsi="Times New Roman"/>
          <w:sz w:val="28"/>
          <w:szCs w:val="28"/>
        </w:rPr>
        <w:t xml:space="preserve">Про утворення Державної інноваційної небанківської фінансово-кредитної установи </w:t>
      </w:r>
      <w:proofErr w:type="spellStart"/>
      <w:r w:rsidRPr="00B9321B">
        <w:rPr>
          <w:rFonts w:ascii="Times New Roman" w:hAnsi="Times New Roman"/>
          <w:sz w:val="28"/>
          <w:szCs w:val="28"/>
        </w:rPr>
        <w:t>“Фонд</w:t>
      </w:r>
      <w:proofErr w:type="spellEnd"/>
      <w:r w:rsidRPr="00B9321B">
        <w:rPr>
          <w:rFonts w:ascii="Times New Roman" w:hAnsi="Times New Roman"/>
          <w:sz w:val="28"/>
          <w:szCs w:val="28"/>
        </w:rPr>
        <w:t xml:space="preserve"> підтримки малого інноваційного </w:t>
      </w:r>
      <w:proofErr w:type="spellStart"/>
      <w:r w:rsidRPr="00B9321B">
        <w:rPr>
          <w:rFonts w:ascii="Times New Roman" w:hAnsi="Times New Roman"/>
          <w:sz w:val="28"/>
          <w:szCs w:val="28"/>
        </w:rPr>
        <w:t>бізнесу”</w:t>
      </w:r>
      <w:proofErr w:type="spellEnd"/>
      <w:r w:rsidRPr="00B9321B">
        <w:rPr>
          <w:rFonts w:ascii="Times New Roman" w:hAnsi="Times New Roman"/>
          <w:sz w:val="28"/>
          <w:szCs w:val="28"/>
        </w:rPr>
        <w:t>: Постанова, Статут від 12.12.2011 № 1396 [Електронний ресурс] / Кабінет Міністрів Украї</w:t>
      </w:r>
      <w:r>
        <w:rPr>
          <w:rFonts w:ascii="Times New Roman" w:hAnsi="Times New Roman"/>
          <w:sz w:val="28"/>
          <w:szCs w:val="28"/>
        </w:rPr>
        <w:t>ни. – Режим доступу</w:t>
      </w:r>
      <w:r w:rsidRPr="00B9321B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B9321B">
          <w:rPr>
            <w:rStyle w:val="a4"/>
            <w:rFonts w:ascii="Times New Roman" w:hAnsi="Times New Roman"/>
            <w:sz w:val="28"/>
            <w:szCs w:val="28"/>
          </w:rPr>
          <w:t>http://zakon2.rada.gov.ua/laws/show/1396-2011-%D0%BF</w:t>
        </w:r>
      </w:hyperlink>
      <w:r w:rsidRPr="00B9321B">
        <w:rPr>
          <w:rFonts w:ascii="Times New Roman" w:hAnsi="Times New Roman"/>
          <w:sz w:val="28"/>
          <w:szCs w:val="28"/>
        </w:rPr>
        <w:t>.</w:t>
      </w:r>
    </w:p>
    <w:p w:rsidR="00AC3B2E" w:rsidRDefault="002C535B" w:rsidP="002C5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Николаенко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Сакун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Предложения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усовершенствованию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механизма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финансирования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локальних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инновационных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центров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Украине</w:t>
      </w:r>
      <w:proofErr w:type="spellEnd"/>
      <w:r w:rsid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C3B2E" w:rsidRDefault="00AC3B2E" w:rsidP="002C5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Аннотация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Статья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посвящена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поиску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альтернативных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схем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финансирования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локальных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инновационных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центров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Предложены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государственных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программы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финансирования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локальных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инновационных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центров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Эти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программы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включают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инновационные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схемы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финансирования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котор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AC3B2E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раньше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был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использован</w:t>
      </w:r>
      <w:r>
        <w:rPr>
          <w:rFonts w:ascii="Times New Roman" w:hAnsi="Times New Roman" w:cs="Times New Roman"/>
          <w:sz w:val="28"/>
          <w:szCs w:val="28"/>
          <w:lang w:val="uk-UA"/>
        </w:rPr>
        <w:t>ы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535B" w:rsidRDefault="002C535B" w:rsidP="002C53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Ключ</w:t>
      </w:r>
      <w:r w:rsidR="00AC3B2E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C3B2E">
        <w:rPr>
          <w:rFonts w:ascii="Times New Roman" w:hAnsi="Times New Roman" w:cs="Times New Roman"/>
          <w:b/>
          <w:sz w:val="28"/>
          <w:szCs w:val="28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слова: </w:t>
      </w:r>
      <w:proofErr w:type="spellStart"/>
      <w:r w:rsidRPr="002C535B">
        <w:rPr>
          <w:rFonts w:ascii="Times New Roman" w:hAnsi="Times New Roman" w:cs="Times New Roman"/>
          <w:sz w:val="28"/>
          <w:szCs w:val="28"/>
          <w:lang w:val="uk-UA"/>
        </w:rPr>
        <w:t>локальн</w:t>
      </w:r>
      <w:r w:rsidR="00AC3B2E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2C535B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2C5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3B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C535B">
        <w:rPr>
          <w:rFonts w:ascii="Times New Roman" w:hAnsi="Times New Roman" w:cs="Times New Roman"/>
          <w:sz w:val="28"/>
          <w:szCs w:val="28"/>
          <w:lang w:val="uk-UA"/>
        </w:rPr>
        <w:t>нновац</w:t>
      </w:r>
      <w:r w:rsidR="00AC3B2E">
        <w:rPr>
          <w:rFonts w:ascii="Times New Roman" w:hAnsi="Times New Roman" w:cs="Times New Roman"/>
          <w:sz w:val="28"/>
          <w:szCs w:val="28"/>
          <w:lang w:val="uk-UA"/>
        </w:rPr>
        <w:t>ион</w:t>
      </w:r>
      <w:r w:rsidRPr="002C53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3B2E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2C535B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2C535B">
        <w:rPr>
          <w:rFonts w:ascii="Times New Roman" w:hAnsi="Times New Roman" w:cs="Times New Roman"/>
          <w:sz w:val="28"/>
          <w:szCs w:val="28"/>
          <w:lang w:val="uk-UA"/>
        </w:rPr>
        <w:t xml:space="preserve"> центр,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C3B2E">
        <w:rPr>
          <w:rFonts w:ascii="Times New Roman" w:hAnsi="Times New Roman" w:cs="Times New Roman"/>
          <w:sz w:val="28"/>
          <w:szCs w:val="28"/>
          <w:lang w:val="uk-UA"/>
        </w:rPr>
        <w:t>овместное</w:t>
      </w:r>
      <w:proofErr w:type="spellEnd"/>
      <w:r w:rsid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C3B2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нанс</w:t>
      </w:r>
      <w:r w:rsidR="00AC3B2E">
        <w:rPr>
          <w:rFonts w:ascii="Times New Roman" w:hAnsi="Times New Roman" w:cs="Times New Roman"/>
          <w:sz w:val="28"/>
          <w:szCs w:val="28"/>
          <w:lang w:val="uk-UA"/>
        </w:rPr>
        <w:t>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банк</w:t>
      </w:r>
      <w:r w:rsidR="00AC3B2E">
        <w:rPr>
          <w:rFonts w:ascii="Times New Roman" w:hAnsi="Times New Roman" w:cs="Times New Roman"/>
          <w:sz w:val="28"/>
          <w:szCs w:val="28"/>
          <w:lang w:val="uk-UA"/>
        </w:rPr>
        <w:t>овское</w:t>
      </w:r>
      <w:proofErr w:type="spellEnd"/>
      <w:r w:rsid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3B2E">
        <w:rPr>
          <w:rFonts w:ascii="Times New Roman" w:hAnsi="Times New Roman" w:cs="Times New Roman"/>
          <w:sz w:val="28"/>
          <w:szCs w:val="28"/>
          <w:lang w:val="uk-UA"/>
        </w:rPr>
        <w:t>кредитование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венчурн</w:t>
      </w:r>
      <w:r w:rsidR="00AC3B2E"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фонд, </w:t>
      </w:r>
      <w:proofErr w:type="spellStart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компан</w:t>
      </w:r>
      <w:r w:rsidR="00AC3B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ии</w:t>
      </w:r>
      <w:proofErr w:type="spellEnd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spin-</w:t>
      </w:r>
      <w:proofErr w:type="spellStart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off</w:t>
      </w:r>
      <w:proofErr w:type="spellEnd"/>
      <w:r w:rsidRPr="00EF0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C3B2E" w:rsidRPr="00AC3B2E" w:rsidRDefault="00AC3B2E" w:rsidP="002C5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D1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Nikolaenko</w:t>
      </w:r>
      <w:proofErr w:type="spellEnd"/>
      <w:r w:rsidRPr="009D1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D1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Yu.V</w:t>
      </w:r>
      <w:proofErr w:type="spellEnd"/>
      <w:r w:rsidRPr="009D1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9D17A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D1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Sakun</w:t>
      </w:r>
      <w:proofErr w:type="spellEnd"/>
      <w:r w:rsidRPr="009D17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D17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O.S.</w:t>
      </w:r>
      <w:r w:rsidRPr="00346E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uggestions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to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improvement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financing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mechanism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local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innovative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centers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in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kraine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C3B2E" w:rsidRDefault="00AC3B2E" w:rsidP="00AC3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Summary</w:t>
      </w:r>
      <w:proofErr w:type="spellEnd"/>
      <w:r w:rsidRPr="00AC3B2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C5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article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devoted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search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alternative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charts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financing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local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innovative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centers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Two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government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programs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financing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local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innovative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centers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offered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These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programs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included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innovative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charts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financing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before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B2E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AC3B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168" w:rsidRPr="00AC3B2E" w:rsidRDefault="002240E6" w:rsidP="00AC3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40E6">
        <w:rPr>
          <w:rFonts w:ascii="Times New Roman" w:hAnsi="Times New Roman" w:cs="Times New Roman"/>
          <w:b/>
          <w:sz w:val="28"/>
          <w:szCs w:val="28"/>
          <w:lang w:val="uk-UA"/>
        </w:rPr>
        <w:t>Keywords</w:t>
      </w:r>
      <w:proofErr w:type="spellEnd"/>
      <w:r w:rsidRPr="002240E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C5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local innovative center</w:t>
      </w:r>
      <w:r w:rsidR="002C535B" w:rsidRPr="002C53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40E6">
        <w:rPr>
          <w:rFonts w:ascii="Times New Roman" w:hAnsi="Times New Roman" w:cs="Times New Roman"/>
          <w:sz w:val="28"/>
          <w:szCs w:val="28"/>
          <w:lang w:val="uk-UA"/>
        </w:rPr>
        <w:t>general</w:t>
      </w:r>
      <w:proofErr w:type="spellEnd"/>
      <w:r w:rsidRPr="00224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40E6">
        <w:rPr>
          <w:rFonts w:ascii="Times New Roman" w:hAnsi="Times New Roman" w:cs="Times New Roman"/>
          <w:sz w:val="28"/>
          <w:szCs w:val="28"/>
          <w:lang w:val="uk-UA"/>
        </w:rPr>
        <w:t>financing</w:t>
      </w:r>
      <w:proofErr w:type="spellEnd"/>
      <w:r w:rsidRPr="002240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40E6">
        <w:rPr>
          <w:rFonts w:ascii="Times New Roman" w:hAnsi="Times New Roman" w:cs="Times New Roman"/>
          <w:sz w:val="28"/>
          <w:szCs w:val="28"/>
          <w:lang w:val="uk-UA"/>
        </w:rPr>
        <w:t>bank</w:t>
      </w:r>
      <w:proofErr w:type="spellEnd"/>
      <w:r w:rsidRPr="00224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40E6">
        <w:rPr>
          <w:rFonts w:ascii="Times New Roman" w:hAnsi="Times New Roman" w:cs="Times New Roman"/>
          <w:sz w:val="28"/>
          <w:szCs w:val="28"/>
          <w:lang w:val="uk-UA"/>
        </w:rPr>
        <w:t>crediting</w:t>
      </w:r>
      <w:proofErr w:type="spellEnd"/>
      <w:r w:rsidRPr="002240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40E6">
        <w:rPr>
          <w:rFonts w:ascii="Times New Roman" w:hAnsi="Times New Roman" w:cs="Times New Roman"/>
          <w:sz w:val="28"/>
          <w:szCs w:val="28"/>
          <w:lang w:val="uk-UA"/>
        </w:rPr>
        <w:t>venture</w:t>
      </w:r>
      <w:proofErr w:type="spellEnd"/>
      <w:r w:rsidRPr="00224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40E6">
        <w:rPr>
          <w:rFonts w:ascii="Times New Roman" w:hAnsi="Times New Roman" w:cs="Times New Roman"/>
          <w:sz w:val="28"/>
          <w:szCs w:val="28"/>
          <w:lang w:val="uk-UA"/>
        </w:rPr>
        <w:t>fund</w:t>
      </w:r>
      <w:proofErr w:type="spellEnd"/>
      <w:r w:rsidRPr="002240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240E6">
        <w:rPr>
          <w:rFonts w:ascii="Times New Roman" w:hAnsi="Times New Roman" w:cs="Times New Roman"/>
          <w:sz w:val="28"/>
          <w:szCs w:val="28"/>
          <w:lang w:val="uk-UA"/>
        </w:rPr>
        <w:t>companies</w:t>
      </w:r>
      <w:proofErr w:type="spellEnd"/>
      <w:r w:rsidRPr="002240E6">
        <w:rPr>
          <w:rFonts w:ascii="Times New Roman" w:hAnsi="Times New Roman" w:cs="Times New Roman"/>
          <w:sz w:val="28"/>
          <w:szCs w:val="28"/>
          <w:lang w:val="uk-UA"/>
        </w:rPr>
        <w:t xml:space="preserve"> spin-</w:t>
      </w:r>
      <w:proofErr w:type="spellStart"/>
      <w:r w:rsidRPr="002240E6">
        <w:rPr>
          <w:rFonts w:ascii="Times New Roman" w:hAnsi="Times New Roman" w:cs="Times New Roman"/>
          <w:sz w:val="28"/>
          <w:szCs w:val="28"/>
          <w:lang w:val="uk-UA"/>
        </w:rPr>
        <w:t>off</w:t>
      </w:r>
      <w:proofErr w:type="spellEnd"/>
      <w:r w:rsidRPr="002240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B1168" w:rsidRPr="00AC3B2E" w:rsidSect="0032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821"/>
    <w:multiLevelType w:val="hybridMultilevel"/>
    <w:tmpl w:val="9FDA15D2"/>
    <w:lvl w:ilvl="0" w:tplc="68EC8162">
      <w:start w:val="8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774ECF"/>
    <w:multiLevelType w:val="hybridMultilevel"/>
    <w:tmpl w:val="9176D19E"/>
    <w:lvl w:ilvl="0" w:tplc="0A0EF4E4">
      <w:start w:val="18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2FF153D"/>
    <w:multiLevelType w:val="hybridMultilevel"/>
    <w:tmpl w:val="EDAE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2F"/>
    <w:rsid w:val="000530A5"/>
    <w:rsid w:val="001E72FB"/>
    <w:rsid w:val="002240E6"/>
    <w:rsid w:val="002C535B"/>
    <w:rsid w:val="00327CD1"/>
    <w:rsid w:val="003F6FC3"/>
    <w:rsid w:val="004C1527"/>
    <w:rsid w:val="005303DD"/>
    <w:rsid w:val="00765B2F"/>
    <w:rsid w:val="00932807"/>
    <w:rsid w:val="009B1168"/>
    <w:rsid w:val="00AC3B2E"/>
    <w:rsid w:val="00B5436D"/>
    <w:rsid w:val="00EF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1" type="connector" idref="#_x0000_s1312"/>
        <o:r id="V:Rule152" type="connector" idref="#_x0000_s1338"/>
        <o:r id="V:Rule153" type="connector" idref="#_x0000_s1320"/>
        <o:r id="V:Rule154" type="connector" idref="#_x0000_s1347"/>
        <o:r id="V:Rule155" type="connector" idref="#_x0000_s1341"/>
        <o:r id="V:Rule156" type="connector" idref="#_x0000_s1318"/>
        <o:r id="V:Rule157" type="connector" idref="#_x0000_s1346"/>
        <o:r id="V:Rule158" type="connector" idref="#_x0000_s1317"/>
        <o:r id="V:Rule159" type="connector" idref="#_x0000_s1315"/>
        <o:r id="V:Rule160" type="connector" idref="#_x0000_s1308"/>
        <o:r id="V:Rule161" type="connector" idref="#_x0000_s1337"/>
        <o:r id="V:Rule162" type="connector" idref="#_x0000_s1307"/>
        <o:r id="V:Rule163" type="connector" idref="#_x0000_s1342"/>
        <o:r id="V:Rule164" type="connector" idref="#_x0000_s1311"/>
        <o:r id="V:Rule165" type="connector" idref="#_x0000_s1319"/>
        <o:r id="V:Rule166" type="connector" idref="#_x0000_s1310"/>
        <o:r id="V:Rule167" type="connector" idref="#_x0000_s1339"/>
        <o:r id="V:Rule168" type="connector" idref="#_x0000_s13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2807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4">
    <w:name w:val="Hyperlink"/>
    <w:basedOn w:val="a0"/>
    <w:uiPriority w:val="99"/>
    <w:unhideWhenUsed/>
    <w:rsid w:val="00530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396-201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2015-06-17T15:31:00Z</dcterms:created>
  <dcterms:modified xsi:type="dcterms:W3CDTF">2015-06-17T18:12:00Z</dcterms:modified>
</cp:coreProperties>
</file>